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line="300"/>
        <w:jc w:val="center"/>
      </w:pPr>
      <w:r>
        <w:rPr>
          <w:rFonts w:ascii="Tajawal" w:cs="Tajawal" w:eastAsia="Tajawal" w:hAnsi="Tajawal"/>
          <w:b/>
          <w:bCs/>
          <w:color w:val="0A1628"/>
          <w:sz w:val="34"/>
          <w:szCs w:val="34"/>
          <w:rtl/>
        </w:rPr>
        <w:t xml:space="preserve">عقد كراء محل معد للسكنى</w:t>
      </w:r>
    </w:p>
    <w:p>
      <w:pPr>
        <w:pBdr>
          <w:bottom w:val="single" w:color="C9A84C" w:sz="12" w:space="8"/>
        </w:pBdr>
        <w:bidi/>
        <w:spacing w:after="200" w:before="40" w:line="300"/>
        <w:jc w:val="center"/>
      </w:pPr>
      <w:r>
        <w:rPr>
          <w:rFonts w:ascii="Tajawal" w:cs="Tajawal" w:eastAsia="Tajawal" w:hAnsi="Tajawal"/>
          <w:b w:val="false"/>
          <w:color w:val="5A6270"/>
          <w:sz w:val="20"/>
          <w:szCs w:val="20"/>
          <w:rtl/>
        </w:rPr>
        <w:t xml:space="preserve">خاضع لأحكام القانون رقم 67.12 المتعلق بتنظيم العلاقات التعاقدية بين المكري والمكتري للمحلات المعدة للسكنى أو للاستعمال المهني</w:t>
      </w:r>
    </w:p>
    <w:p>
      <w:pPr>
        <w:bidi/>
        <w:spacing w:after="80" w:before="40" w:line="300"/>
        <w:jc w:val="both"/>
      </w:pPr>
      <w:r>
        <w:rPr>
          <w:rFonts w:ascii="Tajawal" w:cs="Tajawal" w:eastAsia="Tajawal" w:hAnsi="Tajawal"/>
          <w:b/>
          <w:bCs/>
          <w:color w:val="1A1A1A"/>
          <w:sz w:val="22"/>
          <w:szCs w:val="22"/>
          <w:rtl/>
        </w:rPr>
        <w:t xml:space="preserve">بين الموقعين أسفله:</w:t>
      </w:r>
    </w:p>
    <w:p>
      <w:pPr>
        <w:keepNext/>
        <w:bidi/>
        <w:spacing w:after="60" w:before="160" w:line="300"/>
        <w:jc w:val="start"/>
      </w:pPr>
      <w:r>
        <w:rPr>
          <w:rFonts w:ascii="Tajawal" w:cs="Tajawal" w:eastAsia="Tajawal" w:hAnsi="Tajawal"/>
          <w:b/>
          <w:bCs/>
          <w:color w:val="0A1628"/>
          <w:sz w:val="23"/>
          <w:szCs w:val="23"/>
          <w:rtl/>
        </w:rPr>
        <w:t xml:space="preserve">أولاً: المكري</w:t>
      </w:r>
    </w:p>
    <w:p>
      <w:pPr>
        <w:bidi/>
        <w:spacing w:after="80" w:before="40" w:line="320"/>
        <w:ind w:start="0"/>
        <w:jc w:val="start"/>
      </w:pPr>
      <w:r>
        <w:rPr>
          <w:rFonts w:ascii="Tajawal" w:cs="Tajawal" w:eastAsia="Tajawal" w:hAnsi="Tajawal"/>
          <w:b w:val="false"/>
          <w:color w:val="1A1A1A"/>
          <w:sz w:val="22"/>
          <w:szCs w:val="22"/>
          <w:rtl/>
        </w:rPr>
        <w:t xml:space="preserve">الاسم الشخصي والعائلي: ....................................................................</w:t>
      </w:r>
    </w:p>
    <w:p>
      <w:pPr>
        <w:bidi/>
        <w:spacing w:after="80" w:before="40" w:line="320"/>
        <w:ind w:start="0"/>
        <w:jc w:val="start"/>
      </w:pPr>
      <w:r>
        <w:rPr>
          <w:rFonts w:ascii="Tajawal" w:cs="Tajawal" w:eastAsia="Tajawal" w:hAnsi="Tajawal"/>
          <w:b w:val="false"/>
          <w:color w:val="1A1A1A"/>
          <w:sz w:val="22"/>
          <w:szCs w:val="22"/>
          <w:rtl/>
        </w:rPr>
        <w:t xml:space="preserve">الجنسية: ..............................</w:t>
      </w:r>
    </w:p>
    <w:p>
      <w:pPr>
        <w:bidi/>
        <w:spacing w:after="80" w:before="40" w:line="320"/>
        <w:ind w:start="0"/>
        <w:jc w:val="start"/>
      </w:pPr>
      <w:r>
        <w:rPr>
          <w:rFonts w:ascii="Tajawal" w:cs="Tajawal" w:eastAsia="Tajawal" w:hAnsi="Tajawal"/>
          <w:b w:val="false"/>
          <w:color w:val="1A1A1A"/>
          <w:sz w:val="22"/>
          <w:szCs w:val="22"/>
          <w:rtl/>
        </w:rPr>
        <w:t xml:space="preserve">المهنة: ..............................................</w:t>
      </w:r>
    </w:p>
    <w:p>
      <w:pPr>
        <w:bidi/>
        <w:spacing w:after="80" w:before="40" w:line="320"/>
        <w:ind w:start="0"/>
        <w:jc w:val="start"/>
      </w:pPr>
      <w:r>
        <w:rPr>
          <w:rFonts w:ascii="Tajawal" w:cs="Tajawal" w:eastAsia="Tajawal" w:hAnsi="Tajawal"/>
          <w:b w:val="false"/>
          <w:color w:val="1A1A1A"/>
          <w:sz w:val="22"/>
          <w:szCs w:val="22"/>
          <w:rtl/>
        </w:rPr>
        <w:t xml:space="preserve">الموطن: ....................................................................</w:t>
      </w:r>
    </w:p>
    <w:p>
      <w:pPr>
        <w:bidi/>
        <w:spacing w:after="80" w:before="40" w:line="320"/>
        <w:ind w:start="0"/>
        <w:jc w:val="start"/>
      </w:pPr>
      <w:r>
        <w:rPr>
          <w:rFonts w:ascii="Tajawal" w:cs="Tajawal" w:eastAsia="Tajawal" w:hAnsi="Tajawal"/>
          <w:b w:val="false"/>
          <w:color w:val="1A1A1A"/>
          <w:sz w:val="22"/>
          <w:szCs w:val="22"/>
          <w:rtl/>
        </w:rPr>
        <w:t xml:space="preserve">نوع ورقم وثيقة الهوية (البطاقة الوطنية / بطاقة الإقامة / جواز السفر): .............................</w:t>
      </w:r>
    </w:p>
    <w:p>
      <w:pPr>
        <w:bidi/>
        <w:spacing w:after="80" w:before="40" w:line="300"/>
        <w:jc w:val="start"/>
      </w:pPr>
      <w:r>
        <w:rPr>
          <w:rFonts w:ascii="Tajawal" w:cs="Tajawal" w:eastAsia="Tajawal" w:hAnsi="Tajawal"/>
          <w:b w:val="false"/>
          <w:color w:val="1A1A1A"/>
          <w:sz w:val="22"/>
          <w:szCs w:val="22"/>
          <w:rtl/>
        </w:rPr>
        <w:t xml:space="preserve">عند الاقتضاء، ينوب عنه: .................................... بمقتضى وكالة مؤرخة في ................ ومصادق على إمضائها لدى ...................................، تُرفق نسخة منها بهذا العقد.</w:t>
      </w:r>
    </w:p>
    <w:p>
      <w:pPr>
        <w:bidi/>
        <w:spacing w:after="80" w:before="40" w:line="300"/>
        <w:jc w:val="start"/>
      </w:pPr>
      <w:r>
        <w:rPr>
          <w:rFonts w:ascii="Tajawal" w:cs="Tajawal" w:eastAsia="Tajawal" w:hAnsi="Tajawal"/>
          <w:b w:val="false"/>
          <w:color w:val="1A1A1A"/>
          <w:sz w:val="22"/>
          <w:szCs w:val="22"/>
          <w:rtl/>
        </w:rPr>
        <w:t xml:space="preserve">إذا كان المكري شخصاً معنوياً: التسمية .............................. المقر الاجتماعي .............................. رقم السجل التجاري .............. يمثله قانونياً: .............................. بصفته ..............</w:t>
      </w:r>
    </w:p>
    <w:p>
      <w:pPr>
        <w:bidi/>
        <w:spacing w:after="80" w:before="40" w:line="300"/>
        <w:jc w:val="both"/>
      </w:pPr>
      <w:r>
        <w:rPr>
          <w:rFonts w:ascii="Tajawal" w:cs="Tajawal" w:eastAsia="Tajawal" w:hAnsi="Tajawal"/>
          <w:b w:val="false"/>
          <w:color w:val="1A1A1A"/>
          <w:sz w:val="22"/>
          <w:szCs w:val="22"/>
          <w:rtl/>
        </w:rPr>
        <w:t xml:space="preserve">ويُشار إليه فيما يلي بـ«المكري».</w:t>
      </w:r>
    </w:p>
    <w:p>
      <w:pPr>
        <w:keepNext/>
        <w:bidi/>
        <w:spacing w:after="60" w:before="160" w:line="300"/>
        <w:jc w:val="start"/>
      </w:pPr>
      <w:r>
        <w:rPr>
          <w:rFonts w:ascii="Tajawal" w:cs="Tajawal" w:eastAsia="Tajawal" w:hAnsi="Tajawal"/>
          <w:b/>
          <w:bCs/>
          <w:color w:val="0A1628"/>
          <w:sz w:val="23"/>
          <w:szCs w:val="23"/>
          <w:rtl/>
        </w:rPr>
        <w:t xml:space="preserve">ثانياً: المكتري</w:t>
      </w:r>
    </w:p>
    <w:p>
      <w:pPr>
        <w:bidi/>
        <w:spacing w:after="80" w:before="40" w:line="320"/>
        <w:ind w:start="0"/>
        <w:jc w:val="start"/>
      </w:pPr>
      <w:r>
        <w:rPr>
          <w:rFonts w:ascii="Tajawal" w:cs="Tajawal" w:eastAsia="Tajawal" w:hAnsi="Tajawal"/>
          <w:b w:val="false"/>
          <w:color w:val="1A1A1A"/>
          <w:sz w:val="22"/>
          <w:szCs w:val="22"/>
          <w:rtl/>
        </w:rPr>
        <w:t xml:space="preserve">الاسم الشخصي والعائلي: ....................................................................</w:t>
      </w:r>
    </w:p>
    <w:p>
      <w:pPr>
        <w:bidi/>
        <w:spacing w:after="80" w:before="40" w:line="320"/>
        <w:ind w:start="0"/>
        <w:jc w:val="start"/>
      </w:pPr>
      <w:r>
        <w:rPr>
          <w:rFonts w:ascii="Tajawal" w:cs="Tajawal" w:eastAsia="Tajawal" w:hAnsi="Tajawal"/>
          <w:b w:val="false"/>
          <w:color w:val="1A1A1A"/>
          <w:sz w:val="22"/>
          <w:szCs w:val="22"/>
          <w:rtl/>
        </w:rPr>
        <w:t xml:space="preserve">الجنسية: ..............................</w:t>
      </w:r>
    </w:p>
    <w:p>
      <w:pPr>
        <w:bidi/>
        <w:spacing w:after="80" w:before="40" w:line="320"/>
        <w:ind w:start="0"/>
        <w:jc w:val="start"/>
      </w:pPr>
      <w:r>
        <w:rPr>
          <w:rFonts w:ascii="Tajawal" w:cs="Tajawal" w:eastAsia="Tajawal" w:hAnsi="Tajawal"/>
          <w:b w:val="false"/>
          <w:color w:val="1A1A1A"/>
          <w:sz w:val="22"/>
          <w:szCs w:val="22"/>
          <w:rtl/>
        </w:rPr>
        <w:t xml:space="preserve">المهنة: ..............................................</w:t>
      </w:r>
    </w:p>
    <w:p>
      <w:pPr>
        <w:bidi/>
        <w:spacing w:after="80" w:before="40" w:line="320"/>
        <w:ind w:start="0"/>
        <w:jc w:val="start"/>
      </w:pPr>
      <w:r>
        <w:rPr>
          <w:rFonts w:ascii="Tajawal" w:cs="Tajawal" w:eastAsia="Tajawal" w:hAnsi="Tajawal"/>
          <w:b w:val="false"/>
          <w:color w:val="1A1A1A"/>
          <w:sz w:val="22"/>
          <w:szCs w:val="22"/>
          <w:rtl/>
        </w:rPr>
        <w:t xml:space="preserve">الموطن: ....................................................................</w:t>
      </w:r>
    </w:p>
    <w:p>
      <w:pPr>
        <w:bidi/>
        <w:spacing w:after="80" w:before="40" w:line="320"/>
        <w:ind w:start="0"/>
        <w:jc w:val="start"/>
      </w:pPr>
      <w:r>
        <w:rPr>
          <w:rFonts w:ascii="Tajawal" w:cs="Tajawal" w:eastAsia="Tajawal" w:hAnsi="Tajawal"/>
          <w:b w:val="false"/>
          <w:color w:val="1A1A1A"/>
          <w:sz w:val="22"/>
          <w:szCs w:val="22"/>
          <w:rtl/>
        </w:rPr>
        <w:t xml:space="preserve">نوع ورقم وثيقة الهوية (البطاقة الوطنية / بطاقة الإقامة / جواز السفر): .............................</w:t>
      </w:r>
    </w:p>
    <w:p>
      <w:pPr>
        <w:bidi/>
        <w:spacing w:after="80" w:before="40" w:line="300"/>
        <w:jc w:val="start"/>
      </w:pPr>
      <w:r>
        <w:rPr>
          <w:rFonts w:ascii="Tajawal" w:cs="Tajawal" w:eastAsia="Tajawal" w:hAnsi="Tajawal"/>
          <w:b w:val="false"/>
          <w:color w:val="1A1A1A"/>
          <w:sz w:val="22"/>
          <w:szCs w:val="22"/>
          <w:rtl/>
        </w:rPr>
        <w:t xml:space="preserve">عند الاقتضاء، ينوب عنه: .................................... بمقتضى وكالة مؤرخة في ................ ومصادق على إمضائها لدى ...................................، تُرفق نسخة منها بهذا العقد.</w:t>
      </w:r>
    </w:p>
    <w:p>
      <w:pPr>
        <w:bidi/>
        <w:spacing w:after="80" w:before="40" w:line="300"/>
        <w:jc w:val="start"/>
      </w:pPr>
      <w:r>
        <w:rPr>
          <w:rFonts w:ascii="Tajawal" w:cs="Tajawal" w:eastAsia="Tajawal" w:hAnsi="Tajawal"/>
          <w:b w:val="false"/>
          <w:color w:val="1A1A1A"/>
          <w:sz w:val="22"/>
          <w:szCs w:val="22"/>
          <w:rtl/>
        </w:rPr>
        <w:t xml:space="preserve">إذا كان المكتري شخصاً معنوياً: التسمية .............................. المقر الاجتماعي .............................. رقم السجل التجاري .............. يمثله قانونياً: .............................. بصفته ..............</w:t>
      </w:r>
    </w:p>
    <w:p>
      <w:pPr>
        <w:bidi/>
        <w:spacing w:after="80" w:before="40" w:line="300"/>
        <w:jc w:val="both"/>
      </w:pPr>
      <w:r>
        <w:rPr>
          <w:rFonts w:ascii="Tajawal" w:cs="Tajawal" w:eastAsia="Tajawal" w:hAnsi="Tajawal"/>
          <w:b w:val="false"/>
          <w:color w:val="1A1A1A"/>
          <w:sz w:val="22"/>
          <w:szCs w:val="22"/>
          <w:rtl/>
        </w:rPr>
        <w:t xml:space="preserve">ويُشار إليه فيما يلي بـ«المكتري».</w:t>
      </w:r>
    </w:p>
    <w:p>
      <w:pPr>
        <w:bidi/>
        <w:spacing w:after="120" w:before="120" w:line="300"/>
        <w:jc w:val="center"/>
      </w:pPr>
      <w:r>
        <w:rPr>
          <w:rFonts w:ascii="Tajawal" w:cs="Tajawal" w:eastAsia="Tajawal" w:hAnsi="Tajawal"/>
          <w:b/>
          <w:bCs/>
          <w:color w:val="1A1A1A"/>
          <w:sz w:val="22"/>
          <w:szCs w:val="22"/>
          <w:rtl/>
        </w:rPr>
        <w:t xml:space="preserve">تم الاتفاق والتراضي بين الطرفين على ما يلي:</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 موضوع العقد</w:t>
      </w:r>
    </w:p>
    <w:p>
      <w:pPr>
        <w:bidi/>
        <w:spacing w:after="80" w:before="40" w:line="300"/>
        <w:jc w:val="start"/>
      </w:pPr>
      <w:r>
        <w:rPr>
          <w:rFonts w:ascii="Tajawal" w:cs="Tajawal" w:eastAsia="Tajawal" w:hAnsi="Tajawal"/>
          <w:b w:val="false"/>
          <w:color w:val="1A1A1A"/>
          <w:sz w:val="22"/>
          <w:szCs w:val="22"/>
          <w:rtl/>
        </w:rPr>
        <w:t xml:space="preserve">يُكري المكري للمكتري، الذي يقبل بعد معاينته، المحل المعد للسكنى الكائن بـ: ........................................................................ مدينة: ........................</w:t>
      </w:r>
    </w:p>
    <w:p>
      <w:pPr>
        <w:bidi/>
        <w:spacing w:after="80" w:before="40" w:line="320"/>
        <w:ind w:start="0"/>
        <w:jc w:val="start"/>
      </w:pPr>
      <w:r>
        <w:rPr>
          <w:rFonts w:ascii="Tajawal" w:cs="Tajawal" w:eastAsia="Tajawal" w:hAnsi="Tajawal"/>
          <w:b w:val="false"/>
          <w:color w:val="1A1A1A"/>
          <w:sz w:val="22"/>
          <w:szCs w:val="22"/>
          <w:rtl/>
        </w:rPr>
        <w:t xml:space="preserve">الرسم العقاري عدد (عند الاقتضاء): ..............................</w:t>
      </w:r>
    </w:p>
    <w:p>
      <w:pPr>
        <w:bidi/>
        <w:spacing w:after="80" w:before="40" w:line="300"/>
        <w:jc w:val="start"/>
      </w:pPr>
      <w:r>
        <w:rPr>
          <w:rFonts w:ascii="Tajawal" w:cs="Tajawal" w:eastAsia="Tajawal" w:hAnsi="Tajawal"/>
          <w:b w:val="false"/>
          <w:color w:val="1A1A1A"/>
          <w:sz w:val="22"/>
          <w:szCs w:val="22"/>
          <w:rtl/>
        </w:rPr>
        <w:t xml:space="preserve">ويتكون المحل من: ........................................................................ (الغرف، الصالون، المطبخ، الحمام، الشرفة)، ومساحته التقريبية ........ م².</w:t>
      </w:r>
    </w:p>
    <w:p>
      <w:pPr>
        <w:bidi/>
        <w:spacing w:after="80" w:before="40" w:line="300"/>
        <w:jc w:val="both"/>
      </w:pPr>
      <w:r>
        <w:rPr>
          <w:rFonts w:ascii="Tajawal" w:cs="Tajawal" w:eastAsia="Tajawal" w:hAnsi="Tajawal"/>
          <w:b w:val="false"/>
          <w:color w:val="1A1A1A"/>
          <w:sz w:val="22"/>
          <w:szCs w:val="22"/>
          <w:rtl/>
        </w:rPr>
        <w:t xml:space="preserve">المحل: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غير مفروش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مفروش، وتُحدَّد منقولاته وتجهيزاته في الملحق 2.</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2: المرافق والتجهيزات التابعة</w:t>
      </w:r>
    </w:p>
    <w:p>
      <w:pPr>
        <w:bidi/>
        <w:spacing w:after="80" w:before="40" w:line="300"/>
        <w:jc w:val="start"/>
      </w:pPr>
      <w:r>
        <w:rPr>
          <w:rFonts w:ascii="Tajawal" w:cs="Tajawal" w:eastAsia="Tajawal" w:hAnsi="Tajawal"/>
          <w:b w:val="false"/>
          <w:color w:val="1A1A1A"/>
          <w:sz w:val="22"/>
          <w:szCs w:val="22"/>
          <w:rtl/>
        </w:rPr>
        <w:t xml:space="preserve">يشمل هذا الكراء المرافق الآتية: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مرأب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قبو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سطح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حديقة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ساحة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أخرى: ........................</w:t>
      </w:r>
    </w:p>
    <w:p>
      <w:pPr>
        <w:bidi/>
        <w:spacing w:after="80" w:before="40" w:line="300"/>
        <w:jc w:val="start"/>
      </w:pPr>
      <w:r>
        <w:rPr>
          <w:rFonts w:ascii="Tajawal" w:cs="Tajawal" w:eastAsia="Tajawal" w:hAnsi="Tajawal"/>
          <w:b w:val="false"/>
          <w:color w:val="1A1A1A"/>
          <w:sz w:val="22"/>
          <w:szCs w:val="22"/>
          <w:rtl/>
        </w:rPr>
        <w:t xml:space="preserve">والتجهيزات المعدة لاستعمال المكتري وحده: ........................................................................ (عداد الماء، عداد الكهرباء، سخان الماء، المكيف...).</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3: الغرض من الكراء</w:t>
      </w:r>
    </w:p>
    <w:p>
      <w:pPr>
        <w:bidi/>
        <w:spacing w:after="80" w:before="40" w:line="300"/>
        <w:jc w:val="both"/>
      </w:pPr>
      <w:r>
        <w:rPr>
          <w:rFonts w:ascii="Tajawal" w:cs="Tajawal" w:eastAsia="Tajawal" w:hAnsi="Tajawal"/>
          <w:b w:val="false"/>
          <w:color w:val="1A1A1A"/>
          <w:sz w:val="22"/>
          <w:szCs w:val="22"/>
          <w:rtl/>
        </w:rPr>
        <w:t xml:space="preserve">خُصص المحل لسكنى المكتري وأفراد أسرته، ولا يجوز استعماله لأي غرض آخر، مهنياً كان أو تجارياً، إلا بموافقة كتابية من المكري.</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4: المدة</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أُبرم هذا العقد لمدة محددة قدرها ................ تبتدئ من ....../....../..........</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أُبرم هذا العقد لمدة غير محددة تبتدئ من ....../....../..........</w:t>
      </w:r>
    </w:p>
    <w:p>
      <w:pPr>
        <w:bidi/>
        <w:spacing w:after="80" w:before="40" w:line="300"/>
        <w:jc w:val="both"/>
      </w:pPr>
      <w:r>
        <w:rPr>
          <w:rFonts w:ascii="Tajawal" w:cs="Tajawal" w:eastAsia="Tajawal" w:hAnsi="Tajawal"/>
          <w:b w:val="false"/>
          <w:color w:val="1A1A1A"/>
          <w:sz w:val="22"/>
          <w:szCs w:val="22"/>
          <w:rtl/>
        </w:rPr>
        <w:t xml:space="preserve">ويقر الطرفان بعلمهما أن هذا العقد لا ينتهي بمجرد حلول أجله، وأن إنهاءه لا يتم إلا وفق البند 16 أدناه والمادة 44 وما يليها من القانون رقم 67.12.</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5: الوجيبة الكرائية وطريقة أدائها</w:t>
      </w:r>
    </w:p>
    <w:p>
      <w:pPr>
        <w:bidi/>
        <w:spacing w:after="80" w:before="40" w:line="300"/>
        <w:jc w:val="start"/>
      </w:pPr>
      <w:r>
        <w:rPr>
          <w:rFonts w:ascii="Tajawal" w:cs="Tajawal" w:eastAsia="Tajawal" w:hAnsi="Tajawal"/>
          <w:b w:val="false"/>
          <w:color w:val="1A1A1A"/>
          <w:sz w:val="22"/>
          <w:szCs w:val="22"/>
          <w:rtl/>
        </w:rPr>
        <w:t xml:space="preserve">حُدّدت الوجيبة الكرائية في مبلغ ................ درهم (بالحروف: ........................................................ درهماً).</w:t>
      </w:r>
    </w:p>
    <w:p>
      <w:pPr>
        <w:bidi/>
        <w:spacing w:after="80" w:before="40" w:line="300"/>
        <w:jc w:val="start"/>
      </w:pPr>
      <w:r>
        <w:rPr>
          <w:rFonts w:ascii="Tajawal" w:cs="Tajawal" w:eastAsia="Tajawal" w:hAnsi="Tajawal"/>
          <w:b w:val="false"/>
          <w:color w:val="1A1A1A"/>
          <w:sz w:val="22"/>
          <w:szCs w:val="22"/>
          <w:rtl/>
        </w:rPr>
        <w:t xml:space="preserve">تُؤدّى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شهرياً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كل ثلاثة أشهر، مسبقاً، في أجل أقصاه اليوم ........ من كل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شهر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فترة.</w:t>
      </w:r>
    </w:p>
    <w:p>
      <w:pPr>
        <w:bidi/>
        <w:spacing w:after="80" w:before="40" w:line="300"/>
        <w:jc w:val="start"/>
      </w:pPr>
      <w:r>
        <w:rPr>
          <w:rFonts w:ascii="Tajawal" w:cs="Tajawal" w:eastAsia="Tajawal" w:hAnsi="Tajawal"/>
          <w:b w:val="false"/>
          <w:color w:val="1A1A1A"/>
          <w:sz w:val="22"/>
          <w:szCs w:val="22"/>
          <w:rtl/>
        </w:rPr>
        <w:t xml:space="preserve">الوسيلة المتفق عليها للأداء: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تحويل أو إيداع في الحساب البنكي للمكري رقم: ..........................................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نقداً مقابل وصل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شيك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أخرى: ................</w:t>
      </w:r>
    </w:p>
    <w:p>
      <w:pPr>
        <w:bidi/>
        <w:spacing w:after="80" w:before="40" w:line="300"/>
        <w:jc w:val="both"/>
      </w:pPr>
      <w:r>
        <w:rPr>
          <w:rFonts w:ascii="Tajawal" w:cs="Tajawal" w:eastAsia="Tajawal" w:hAnsi="Tajawal"/>
          <w:b w:val="false"/>
          <w:color w:val="1A1A1A"/>
          <w:sz w:val="22"/>
          <w:szCs w:val="22"/>
          <w:rtl/>
        </w:rPr>
        <w:t xml:space="preserve">يسلّم المكري للمكتري عن كل أداء وصلاً موقعاً منه شخصياً أو من وكيله المعتمد، يفصّل المبالغ المؤداة مع التمييز بين الوجيبة والتكاليف. ويُعدّ الأداء بالوسيلة المتفق عليها أعلاه، متى تضمّن الوجيبة والتكاليف كاملة، إثباتاً للأداء.</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6: التكاليف الكرائية</w:t>
      </w:r>
    </w:p>
    <w:p>
      <w:pPr>
        <w:bidi/>
        <w:spacing w:after="80" w:before="40" w:line="300"/>
        <w:jc w:val="start"/>
      </w:pPr>
      <w:r>
        <w:rPr>
          <w:rFonts w:ascii="Tajawal" w:cs="Tajawal" w:eastAsia="Tajawal" w:hAnsi="Tajawal"/>
          <w:b w:val="false"/>
          <w:color w:val="1A1A1A"/>
          <w:sz w:val="22"/>
          <w:szCs w:val="22"/>
          <w:rtl/>
        </w:rPr>
        <w:t xml:space="preserve">يتحمل المكتري، زيادة على الوجيبة، التكاليف الآتية: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استهلاك الماء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استهلاك الكهرباء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رسم الخدمات الجماعية (النظافة)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w:t>
      </w:r>
    </w:p>
    <w:p>
      <w:pPr>
        <w:bidi/>
        <w:spacing w:after="80" w:before="40" w:line="300"/>
        <w:jc w:val="start"/>
      </w:pPr>
      <w:r>
        <w:rPr>
          <w:rFonts w:ascii="Tajawal" w:cs="Tajawal" w:eastAsia="Tajawal" w:hAnsi="Tajawal"/>
          <w:b w:val="false"/>
          <w:color w:val="1A1A1A"/>
          <w:sz w:val="22"/>
          <w:szCs w:val="22"/>
          <w:rtl/>
        </w:rPr>
        <w:t xml:space="preserve">ويتحمل المكري: ........................................................................</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7: الضمانة</w:t>
      </w:r>
    </w:p>
    <w:p>
      <w:pPr>
        <w:bidi/>
        <w:spacing w:after="80" w:before="40" w:line="300"/>
        <w:jc w:val="start"/>
      </w:pPr>
      <w:r>
        <w:rPr>
          <w:rFonts w:ascii="Tajawal" w:cs="Tajawal" w:eastAsia="Tajawal" w:hAnsi="Tajawal"/>
          <w:b w:val="false"/>
          <w:color w:val="1A1A1A"/>
          <w:sz w:val="22"/>
          <w:szCs w:val="22"/>
          <w:rtl/>
        </w:rPr>
        <w:t xml:space="preserve">يدفع المكتري عند توقيع هذا العقد ضمانة قدرها ................ درهم، لا تتجاوز واجب شهرين من الوجيبة، تغطي الوجيبة والتكاليف غير المؤداة والأضرار التي قد يتسبب فيها بالمحل.</w:t>
      </w:r>
    </w:p>
    <w:p>
      <w:pPr>
        <w:bidi/>
        <w:spacing w:after="80" w:before="40" w:line="300"/>
        <w:jc w:val="both"/>
      </w:pPr>
      <w:r>
        <w:rPr>
          <w:rFonts w:ascii="Tajawal" w:cs="Tajawal" w:eastAsia="Tajawal" w:hAnsi="Tajawal"/>
          <w:b w:val="false"/>
          <w:color w:val="1A1A1A"/>
          <w:sz w:val="22"/>
          <w:szCs w:val="22"/>
          <w:rtl/>
        </w:rPr>
        <w:t xml:space="preserve">تُردّ الضمانة داخل أجل أقصاه شهر من تاريخ إرجاع المحل، بعد خصم المبالغ المستحقة للمكري أو التي أداها مكان المكتري، شريطة إثباتها بصفة قانونية.</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يتفق الطرفان على تخصيص مبلغ الضمانة لتغطية وجيبة الأشهر الأخيرة من مدة الكراء.</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8: البيان الوصفي</w:t>
      </w:r>
    </w:p>
    <w:p>
      <w:pPr>
        <w:bidi/>
        <w:spacing w:after="80" w:before="40" w:line="300"/>
        <w:jc w:val="both"/>
      </w:pPr>
      <w:r>
        <w:rPr>
          <w:rFonts w:ascii="Tajawal" w:cs="Tajawal" w:eastAsia="Tajawal" w:hAnsi="Tajawal"/>
          <w:b w:val="false"/>
          <w:color w:val="1A1A1A"/>
          <w:sz w:val="22"/>
          <w:szCs w:val="22"/>
          <w:rtl/>
        </w:rPr>
        <w:t xml:space="preserve">يُعدّ الطرفان بياناً وصفياً مفصلاً ودقيقاً لحالة المحل وقت تسلمه ووقت إرجاعه، في محرر ثابت التاريخ، يُرفق بهذا العقد (الملحق 1) ويُعدّ جزءاً لا يتجزأ منه.</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9: التزامات المكري</w:t>
      </w:r>
    </w:p>
    <w:p>
      <w:pPr>
        <w:bidi/>
        <w:spacing w:after="80" w:before="40" w:line="300"/>
        <w:ind w:start="360" w:hanging="240"/>
        <w:jc w:val="both"/>
      </w:pPr>
      <w:r>
        <w:rPr>
          <w:rFonts w:ascii="Tajawal" w:cs="Tajawal" w:eastAsia="Tajawal" w:hAnsi="Tajawal"/>
          <w:b w:val="false"/>
          <w:color w:val="1A1A1A"/>
          <w:sz w:val="22"/>
          <w:szCs w:val="22"/>
          <w:rtl/>
        </w:rPr>
        <w:t xml:space="preserve">–  تسليم المحل ومرافقه وتجهيزاته المذكورة في هذا العقد، متوفراً على المواصفات الضرورية من حيث التهوية والمطبخ ودورة المياه والكهرباء والماء؛</w:t>
      </w:r>
    </w:p>
    <w:p>
      <w:pPr>
        <w:bidi/>
        <w:spacing w:after="80" w:before="40" w:line="300"/>
        <w:ind w:start="360" w:hanging="240"/>
        <w:jc w:val="both"/>
      </w:pPr>
      <w:r>
        <w:rPr>
          <w:rFonts w:ascii="Tajawal" w:cs="Tajawal" w:eastAsia="Tajawal" w:hAnsi="Tajawal"/>
          <w:b w:val="false"/>
          <w:color w:val="1A1A1A"/>
          <w:sz w:val="22"/>
          <w:szCs w:val="22"/>
          <w:rtl/>
        </w:rPr>
        <w:t xml:space="preserve">–  ضمان الانتفاع الكامل والهادئ بالمحل، وضمان العيوب التي تعرقل هذا الانتفاع، باستثناء ما هو مبيّن في البيان الوصفي؛</w:t>
      </w:r>
    </w:p>
    <w:p>
      <w:pPr>
        <w:bidi/>
        <w:spacing w:after="80" w:before="40" w:line="300"/>
        <w:ind w:start="360" w:hanging="240"/>
        <w:jc w:val="both"/>
      </w:pPr>
      <w:r>
        <w:rPr>
          <w:rFonts w:ascii="Tajawal" w:cs="Tajawal" w:eastAsia="Tajawal" w:hAnsi="Tajawal"/>
          <w:b w:val="false"/>
          <w:color w:val="1A1A1A"/>
          <w:sz w:val="22"/>
          <w:szCs w:val="22"/>
          <w:rtl/>
        </w:rPr>
        <w:t xml:space="preserve">–  صيانة المحل والقيام بجميع الإصلاحات الضرورية للحفاظ عليه؛</w:t>
      </w:r>
    </w:p>
    <w:p>
      <w:pPr>
        <w:bidi/>
        <w:spacing w:after="80" w:before="40" w:line="300"/>
        <w:ind w:start="360" w:hanging="240"/>
        <w:jc w:val="both"/>
      </w:pPr>
      <w:r>
        <w:rPr>
          <w:rFonts w:ascii="Tajawal" w:cs="Tajawal" w:eastAsia="Tajawal" w:hAnsi="Tajawal"/>
          <w:b w:val="false"/>
          <w:color w:val="1A1A1A"/>
          <w:sz w:val="22"/>
          <w:szCs w:val="22"/>
          <w:rtl/>
        </w:rPr>
        <w:t xml:space="preserve">–  تسليم وصل عن كل أداء وفق البند 5.</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10: التزامات المكتري</w:t>
      </w:r>
    </w:p>
    <w:p>
      <w:pPr>
        <w:bidi/>
        <w:spacing w:after="80" w:before="40" w:line="300"/>
        <w:ind w:start="360" w:hanging="240"/>
        <w:jc w:val="both"/>
      </w:pPr>
      <w:r>
        <w:rPr>
          <w:rFonts w:ascii="Tajawal" w:cs="Tajawal" w:eastAsia="Tajawal" w:hAnsi="Tajawal"/>
          <w:b w:val="false"/>
          <w:color w:val="1A1A1A"/>
          <w:sz w:val="22"/>
          <w:szCs w:val="22"/>
          <w:rtl/>
        </w:rPr>
        <w:t xml:space="preserve">–  أداء الوجيبة والتكاليف في آجالها، ولا يجوز له الامتناع عن الأداء بدعوى وجود إزعاج أو عيب، مع احتفاظه بحق طلب التخفيض أمام المحكمة؛</w:t>
      </w:r>
    </w:p>
    <w:p>
      <w:pPr>
        <w:bidi/>
        <w:spacing w:after="80" w:before="40" w:line="300"/>
        <w:ind w:start="360" w:hanging="240"/>
        <w:jc w:val="both"/>
      </w:pPr>
      <w:r>
        <w:rPr>
          <w:rFonts w:ascii="Tajawal" w:cs="Tajawal" w:eastAsia="Tajawal" w:hAnsi="Tajawal"/>
          <w:b w:val="false"/>
          <w:color w:val="1A1A1A"/>
          <w:sz w:val="22"/>
          <w:szCs w:val="22"/>
          <w:rtl/>
        </w:rPr>
        <w:t xml:space="preserve">–  المحافظة على المحل واستعماله وفق الغرض المخصص له، وتحمّل كل خسارة أو عيب ناتج عن فعله أو خطئه، باستثناء ما ينتج عن الاستعمال العادي أو القوة القاهرة أو القِدم أو عيب البناء؛</w:t>
      </w:r>
    </w:p>
    <w:p>
      <w:pPr>
        <w:bidi/>
        <w:spacing w:after="80" w:before="40" w:line="300"/>
        <w:ind w:start="360" w:hanging="240"/>
        <w:jc w:val="both"/>
      </w:pPr>
      <w:r>
        <w:rPr>
          <w:rFonts w:ascii="Tajawal" w:cs="Tajawal" w:eastAsia="Tajawal" w:hAnsi="Tajawal"/>
          <w:b w:val="false"/>
          <w:color w:val="1A1A1A"/>
          <w:sz w:val="22"/>
          <w:szCs w:val="22"/>
          <w:rtl/>
        </w:rPr>
        <w:t xml:space="preserve">–  القيام على نفقته بأشغال الصيانة المألوفة والإصلاحات البسيطة، ولا سيما الأبواب والنوافذ والزجاج والأقفال والتجهيزات الكهربائية والصباغة وصنابير الماء والتجهيزات الصحية؛</w:t>
      </w:r>
    </w:p>
    <w:p>
      <w:pPr>
        <w:bidi/>
        <w:spacing w:after="80" w:before="40" w:line="300"/>
        <w:ind w:start="360" w:hanging="240"/>
        <w:jc w:val="both"/>
      </w:pPr>
      <w:r>
        <w:rPr>
          <w:rFonts w:ascii="Tajawal" w:cs="Tajawal" w:eastAsia="Tajawal" w:hAnsi="Tajawal"/>
          <w:b w:val="false"/>
          <w:color w:val="1A1A1A"/>
          <w:sz w:val="22"/>
          <w:szCs w:val="22"/>
          <w:rtl/>
        </w:rPr>
        <w:t xml:space="preserve">–  عدم إدخال أي تغيير على المحل أو تجهيزاته دون موافقة كتابية من المكري؛</w:t>
      </w:r>
    </w:p>
    <w:p>
      <w:pPr>
        <w:bidi/>
        <w:spacing w:after="80" w:before="40" w:line="300"/>
        <w:ind w:start="360" w:hanging="240"/>
        <w:jc w:val="both"/>
      </w:pPr>
      <w:r>
        <w:rPr>
          <w:rFonts w:ascii="Tajawal" w:cs="Tajawal" w:eastAsia="Tajawal" w:hAnsi="Tajawal"/>
          <w:b w:val="false"/>
          <w:color w:val="1A1A1A"/>
          <w:sz w:val="22"/>
          <w:szCs w:val="22"/>
          <w:rtl/>
        </w:rPr>
        <w:t xml:space="preserve">–  السماح للمكري بإنجاز الأشغال الضرورية لصيانة المحل والإصلاحات المستعجلة؛</w:t>
      </w:r>
    </w:p>
    <w:p>
      <w:pPr>
        <w:bidi/>
        <w:spacing w:after="80" w:before="40" w:line="300"/>
        <w:ind w:start="360" w:hanging="240"/>
        <w:jc w:val="both"/>
      </w:pPr>
      <w:r>
        <w:rPr>
          <w:rFonts w:ascii="Tajawal" w:cs="Tajawal" w:eastAsia="Tajawal" w:hAnsi="Tajawal"/>
          <w:b w:val="false"/>
          <w:color w:val="1A1A1A"/>
          <w:sz w:val="22"/>
          <w:szCs w:val="22"/>
          <w:rtl/>
        </w:rPr>
        <w:t xml:space="preserve">–  إشعار المكري في أسرع الآجال بكل واقعة تستلزم تدخله؛</w:t>
      </w:r>
    </w:p>
    <w:p>
      <w:pPr>
        <w:bidi/>
        <w:spacing w:after="80" w:before="40" w:line="300"/>
        <w:ind w:start="360" w:hanging="240"/>
        <w:jc w:val="both"/>
      </w:pPr>
      <w:r>
        <w:rPr>
          <w:rFonts w:ascii="Tajawal" w:cs="Tajawal" w:eastAsia="Tajawal" w:hAnsi="Tajawal"/>
          <w:b w:val="false"/>
          <w:color w:val="1A1A1A"/>
          <w:sz w:val="22"/>
          <w:szCs w:val="22"/>
          <w:rtl/>
        </w:rPr>
        <w:t xml:space="preserve">–  إرجاع المحل عند إنهاء العقد أو فسخه بالحالة المبيّنة في البيان الوصفي، مع مراعاة الاستعمال العادي.</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11: أشغال متفق عليها قبل التسلم (اختياري)</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لا توجد أشغال.</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اتفق الطرفان على أن يُنجز المكتري الأشغال الآتية: ................................................................ بكلفة ................ درهم، تُخصم من الوجيبة بمعدل ................ درهم شهرياً لمدة ........ شهراً، ويُعوَّض المكتري عن الرصيد غير المخصوم في حالة إفراغه قبل نهاية العقد، مقابل إثبات المصاريف.</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12: مراجعة الوجيبة الكرائية</w:t>
      </w:r>
    </w:p>
    <w:p>
      <w:pPr>
        <w:bidi/>
        <w:spacing w:after="80" w:before="40" w:line="300"/>
        <w:jc w:val="both"/>
      </w:pPr>
      <w:r>
        <w:rPr>
          <w:rFonts w:ascii="Tajawal" w:cs="Tajawal" w:eastAsia="Tajawal" w:hAnsi="Tajawal"/>
          <w:b w:val="false"/>
          <w:color w:val="1A1A1A"/>
          <w:sz w:val="22"/>
          <w:szCs w:val="22"/>
          <w:rtl/>
        </w:rPr>
        <w:t xml:space="preserve">لا يجوز رفع الوجيبة قبل مرور ثلاث سنوات على الأقل من تاريخ إبرام هذا العقد أو من تاريخ آخر مراجعة، ولا بنسبة تتجاوز 8%.</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تُرفع الوجيبة تلقائياً كل ثلاث سنوات بنسبة ........ % (لا تتجاوز 8%)، دون حاجة إلى اتفاق جديد.</w:t>
      </w:r>
    </w:p>
    <w:p>
      <w:pPr>
        <w:bidi/>
        <w:spacing w:after="80" w:before="40" w:line="300"/>
        <w:ind w:start="240"/>
        <w:jc w:val="both"/>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تتم المراجعة وفق مقتضيات الباب الخامس من القانون رقم 67.12.</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13: التولية والتخلي عن الكراء</w:t>
      </w:r>
    </w:p>
    <w:p>
      <w:pPr>
        <w:bidi/>
        <w:spacing w:after="80" w:before="40" w:line="300"/>
        <w:jc w:val="both"/>
      </w:pPr>
      <w:r>
        <w:rPr>
          <w:rFonts w:ascii="Tajawal" w:cs="Tajawal" w:eastAsia="Tajawal" w:hAnsi="Tajawal"/>
          <w:b w:val="false"/>
          <w:color w:val="1A1A1A"/>
          <w:sz w:val="22"/>
          <w:szCs w:val="22"/>
          <w:rtl/>
        </w:rPr>
        <w:t xml:space="preserve">يُمنع على المكتري تولية المحل أو التخلي عنه، كلياً أو جزئياً، بدون موافقة المكري في محرر كتابي ثابت التاريخ يتضمن مبلغ الوجيبة الجديدة والتكاليف وباقي الشروط المتفق عليها. ويُعدّ تولية أو تخلياً شغلُ الغير للمحل أكثر من ثلاثة أشهر. ولا يجوز للمكتري تسليم مفاتيح المحل للغير.</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14: انتقال ملكية المحل</w:t>
      </w:r>
    </w:p>
    <w:p>
      <w:pPr>
        <w:bidi/>
        <w:spacing w:after="80" w:before="40" w:line="300"/>
        <w:jc w:val="both"/>
      </w:pPr>
      <w:r>
        <w:rPr>
          <w:rFonts w:ascii="Tajawal" w:cs="Tajawal" w:eastAsia="Tajawal" w:hAnsi="Tajawal"/>
          <w:b w:val="false"/>
          <w:color w:val="1A1A1A"/>
          <w:sz w:val="22"/>
          <w:szCs w:val="22"/>
          <w:rtl/>
        </w:rPr>
        <w:t xml:space="preserve">في حالة انتقال ملكية المحل، يستمر مفعول هذا العقد لصالح المكتري بنفس شروطه، ويُشعَر المكتري بانتقال الملكية وفق الكيفيات المنصوص عليها قانوناً.</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15: وفاة المكتري أو طلاق الزوجين</w:t>
      </w:r>
    </w:p>
    <w:p>
      <w:pPr>
        <w:bidi/>
        <w:spacing w:after="80" w:before="40" w:line="300"/>
        <w:jc w:val="both"/>
      </w:pPr>
      <w:r>
        <w:rPr>
          <w:rFonts w:ascii="Tajawal" w:cs="Tajawal" w:eastAsia="Tajawal" w:hAnsi="Tajawal"/>
          <w:b w:val="false"/>
          <w:color w:val="1A1A1A"/>
          <w:sz w:val="22"/>
          <w:szCs w:val="22"/>
          <w:rtl/>
        </w:rPr>
        <w:t xml:space="preserve">يستمر مفعول هذا العقد، في حالة وفاة المكتري، لفائدة الأشخاص المحددين في المادة 53 من القانون رقم 67.12. ويمكن أن يستمر، في حالة طلاق الزوجين، لفائدة الأم الحاضنة لأطفالها بنفس الشروط، وفق المادة 54 منه.</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16: إنهاء العقد وفسخه</w:t>
      </w:r>
    </w:p>
    <w:p>
      <w:pPr>
        <w:bidi/>
        <w:spacing w:after="80" w:before="40" w:line="300"/>
        <w:jc w:val="both"/>
      </w:pPr>
      <w:r>
        <w:rPr>
          <w:rFonts w:ascii="Tajawal" w:cs="Tajawal" w:eastAsia="Tajawal" w:hAnsi="Tajawal"/>
          <w:b w:val="false"/>
          <w:color w:val="1A1A1A"/>
          <w:sz w:val="22"/>
          <w:szCs w:val="22"/>
          <w:rtl/>
        </w:rPr>
        <w:t xml:space="preserve">لا ينتهي هذا العقد إلا بعد إشعار بالإفراغ يوجهه المكري مستنداً إلى سبب جدي ومشروع، يتضمن تحت طائلة البطلان سببه وشموله مجموع المحل ومرافقه وأجلاً لا يقل عن شهرين من تاريخ التوصل، ويُبلَّغ وفق الكيفيات المقررة في قانون المسطرة المدنية، ثم تصحيحه عند الاقتضاء من طرف المحكمة.</w:t>
      </w:r>
    </w:p>
    <w:p>
      <w:pPr>
        <w:bidi/>
        <w:spacing w:after="80" w:before="40" w:line="300"/>
        <w:jc w:val="both"/>
      </w:pPr>
      <w:r>
        <w:rPr>
          <w:rFonts w:ascii="Tajawal" w:cs="Tajawal" w:eastAsia="Tajawal" w:hAnsi="Tajawal"/>
          <w:b w:val="false"/>
          <w:color w:val="1A1A1A"/>
          <w:sz w:val="22"/>
          <w:szCs w:val="22"/>
          <w:rtl/>
        </w:rPr>
        <w:t xml:space="preserve">ويمكن للمكري أن يطلب من المحكمة فسخ العقد وإفراغ المكتري دون إشعار في الحالات المنصوص عليها في المادة 56 من القانون المذكور، ولا سيما عدم أداء الوجيبة رغم التوصل بإنذار بالأداء، واستعمال المحل في غير ما أُعدّ له، وإدخال تغييرات عليه بدون موافقة.</w:t>
      </w:r>
    </w:p>
    <w:p>
      <w:pPr>
        <w:bidi/>
        <w:spacing w:after="80" w:before="40" w:line="300"/>
        <w:jc w:val="both"/>
      </w:pPr>
      <w:r>
        <w:rPr>
          <w:rFonts w:ascii="Tajawal" w:cs="Tajawal" w:eastAsia="Tajawal" w:hAnsi="Tajawal"/>
          <w:b w:val="false"/>
          <w:color w:val="1A1A1A"/>
          <w:sz w:val="22"/>
          <w:szCs w:val="22"/>
          <w:rtl/>
        </w:rPr>
        <w:t xml:space="preserve">إذا احتفظ المكتري بالمحل بعد إنهاء العقد أو فسخه، التزم بأداء تعويض تحدده المحكمة لا يقل عن ضعف الوجيبة عن مدة شغله له.</w:t>
      </w:r>
    </w:p>
    <w:p>
      <w:pPr>
        <w:bidi/>
        <w:spacing w:after="80" w:before="40" w:line="300"/>
        <w:jc w:val="start"/>
      </w:pPr>
      <w:r>
        <w:rPr>
          <w:rFonts w:ascii="Tajawal" w:cs="Tajawal" w:eastAsia="Tajawal" w:hAnsi="Tajawal"/>
          <w:b w:val="false"/>
          <w:color w:val="1A1A1A"/>
          <w:sz w:val="22"/>
          <w:szCs w:val="22"/>
          <w:rtl/>
        </w:rPr>
        <w:t xml:space="preserve">ويمكن للمكتري إنهاء هذا العقد بإشعار كتابي يوجهه للمكري قبل ................ على الأقل من تاريخ الإفراغ.</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17: الموطن المختار والإشعارات</w:t>
      </w:r>
    </w:p>
    <w:p>
      <w:pPr>
        <w:bidi/>
        <w:spacing w:after="80" w:before="40" w:line="300"/>
        <w:jc w:val="both"/>
      </w:pPr>
      <w:r>
        <w:rPr>
          <w:rFonts w:ascii="Tajawal" w:cs="Tajawal" w:eastAsia="Tajawal" w:hAnsi="Tajawal"/>
          <w:b w:val="false"/>
          <w:color w:val="1A1A1A"/>
          <w:sz w:val="22"/>
          <w:szCs w:val="22"/>
          <w:rtl/>
        </w:rPr>
        <w:t xml:space="preserve">يختار كل طرف موطنه بالعنوان المبيّن أعلاه، وتُوجَّه إليه فيه جميع الإشعارات والإنذارات، ويلتزم بإخبار الطرف الآخر كتابة بكل تغيير له.</w:t>
      </w:r>
    </w:p>
    <w:p>
      <w:pPr>
        <w:bidi/>
        <w:spacing w:after="80" w:before="40" w:line="300"/>
        <w:ind w:start="240"/>
        <w:jc w:val="start"/>
      </w:pP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يختار الطرف المقيم خارج المغرب موطنه بالمغرب لدى: ........................................................ بالعنوان: ........................................................</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18: الاختصاص</w:t>
      </w:r>
    </w:p>
    <w:p>
      <w:pPr>
        <w:bidi/>
        <w:spacing w:after="80" w:before="40" w:line="300"/>
        <w:jc w:val="both"/>
      </w:pPr>
      <w:r>
        <w:rPr>
          <w:rFonts w:ascii="Tajawal" w:cs="Tajawal" w:eastAsia="Tajawal" w:hAnsi="Tajawal"/>
          <w:b w:val="false"/>
          <w:color w:val="1A1A1A"/>
          <w:sz w:val="22"/>
          <w:szCs w:val="22"/>
          <w:rtl/>
        </w:rPr>
        <w:t xml:space="preserve">تختص المحكمة الابتدائية التي يوجد المحل بدائرتها بالنظر في كل نزاع يتعلق بهذا العقد.</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19: التاريخ الثابت والمصاريف</w:t>
      </w:r>
    </w:p>
    <w:p>
      <w:pPr>
        <w:bidi/>
        <w:spacing w:after="80" w:before="40" w:line="300"/>
        <w:jc w:val="start"/>
      </w:pPr>
      <w:r>
        <w:rPr>
          <w:rFonts w:ascii="Tajawal" w:cs="Tajawal" w:eastAsia="Tajawal" w:hAnsi="Tajawal"/>
          <w:b w:val="false"/>
          <w:color w:val="1A1A1A"/>
          <w:sz w:val="22"/>
          <w:szCs w:val="22"/>
          <w:rtl/>
        </w:rPr>
        <w:t xml:space="preserve">يتفق الطرفان على إكساب هذا العقد تاريخاً ثابتاً بواسطة: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تصحيح إمضاءيهما لدى السلطة المختصة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تسجيله لدى إدارة التسجيل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w:t>
      </w:r>
    </w:p>
    <w:p>
      <w:pPr>
        <w:bidi/>
        <w:spacing w:after="80" w:before="40" w:line="300"/>
        <w:jc w:val="both"/>
      </w:pPr>
      <w:r>
        <w:rPr>
          <w:rFonts w:ascii="Tajawal" w:cs="Tajawal" w:eastAsia="Tajawal" w:hAnsi="Tajawal"/>
          <w:b w:val="false"/>
          <w:color w:val="1A1A1A"/>
          <w:sz w:val="22"/>
          <w:szCs w:val="22"/>
          <w:rtl/>
        </w:rPr>
        <w:t xml:space="preserve">ويتحمل مصاريف ذلك: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المكري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المكتري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الطرفان مناصفة.</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20: شروط خاصة</w:t>
      </w:r>
    </w:p>
    <w:p>
      <w:pPr>
        <w:bidi/>
        <w:spacing w:after="80" w:before="40" w:line="300"/>
        <w:jc w:val="start"/>
      </w:pPr>
      <w:r>
        <w:rPr>
          <w:rFonts w:ascii="Tajawal" w:cs="Tajawal" w:eastAsia="Tajawal" w:hAnsi="Tajawal"/>
          <w:b w:val="false"/>
          <w:color w:val="1A1A1A"/>
          <w:sz w:val="22"/>
          <w:szCs w:val="22"/>
          <w:rtl/>
        </w:rPr>
        <w:t xml:space="preserve">............................................................................................................................................</w:t>
      </w:r>
    </w:p>
    <w:p>
      <w:pPr>
        <w:bidi/>
        <w:spacing w:after="80" w:before="40" w:line="300"/>
        <w:jc w:val="start"/>
      </w:pPr>
      <w:r>
        <w:rPr>
          <w:rFonts w:ascii="Tajawal" w:cs="Tajawal" w:eastAsia="Tajawal" w:hAnsi="Tajawal"/>
          <w:b w:val="false"/>
          <w:color w:val="1A1A1A"/>
          <w:sz w:val="22"/>
          <w:szCs w:val="22"/>
          <w:rtl/>
        </w:rPr>
        <w:t xml:space="preserve">............................................................................................................................................</w:t>
      </w:r>
    </w:p>
    <w:p>
      <w:pPr>
        <w:keepNext/>
        <w:pBdr>
          <w:bottom w:val="single" w:color="C9A84C" w:sz="6" w:space="2"/>
        </w:pBdr>
        <w:bidi/>
        <w:spacing w:after="80" w:before="220" w:line="300"/>
        <w:jc w:val="start"/>
      </w:pPr>
      <w:r>
        <w:rPr>
          <w:rFonts w:ascii="Tajawal" w:cs="Tajawal" w:eastAsia="Tajawal" w:hAnsi="Tajawal"/>
          <w:b/>
          <w:bCs/>
          <w:color w:val="0A1628"/>
          <w:sz w:val="24"/>
          <w:szCs w:val="24"/>
          <w:rtl/>
        </w:rPr>
        <w:t xml:space="preserve">البند 21: أحكام عامة</w:t>
      </w:r>
    </w:p>
    <w:p>
      <w:pPr>
        <w:bidi/>
        <w:spacing w:after="80" w:before="40" w:line="300"/>
        <w:ind w:start="360" w:hanging="240"/>
        <w:jc w:val="both"/>
      </w:pPr>
      <w:r>
        <w:rPr>
          <w:rFonts w:ascii="Tajawal" w:cs="Tajawal" w:eastAsia="Tajawal" w:hAnsi="Tajawal"/>
          <w:b w:val="false"/>
          <w:color w:val="1A1A1A"/>
          <w:sz w:val="22"/>
          <w:szCs w:val="22"/>
          <w:rtl/>
        </w:rPr>
        <w:t xml:space="preserve">–  يخضع هذا العقد لأحكام القانون رقم 67.12، وفيما لم يرد فيه نص لأحكام قانون الالتزامات والعقود؛</w:t>
      </w:r>
    </w:p>
    <w:p>
      <w:pPr>
        <w:bidi/>
        <w:spacing w:after="80" w:before="40" w:line="300"/>
        <w:ind w:start="360" w:hanging="240"/>
        <w:jc w:val="both"/>
      </w:pPr>
      <w:r>
        <w:rPr>
          <w:rFonts w:ascii="Tajawal" w:cs="Tajawal" w:eastAsia="Tajawal" w:hAnsi="Tajawal"/>
          <w:b w:val="false"/>
          <w:color w:val="1A1A1A"/>
          <w:sz w:val="22"/>
          <w:szCs w:val="22"/>
          <w:rtl/>
        </w:rPr>
        <w:t xml:space="preserve">–  تُعدّ الملاحق الآتية جزءاً لا يتجزأ منه: الملحق 1 (البيان الوصفي)، الملحق 2 (جرد المنقولات والتجهيزات، عند الاقتضاء)، نسخة الوكالة (عند الاقتضاء)، نسختا وثيقتي هوية الطرفين؛</w:t>
      </w:r>
    </w:p>
    <w:p>
      <w:pPr>
        <w:bidi/>
        <w:spacing w:after="80" w:before="40" w:line="300"/>
        <w:ind w:start="360" w:hanging="240"/>
        <w:jc w:val="start"/>
      </w:pPr>
      <w:r>
        <w:rPr>
          <w:rFonts w:ascii="Tajawal" w:cs="Tajawal" w:eastAsia="Tajawal" w:hAnsi="Tajawal"/>
          <w:b w:val="false"/>
          <w:color w:val="1A1A1A"/>
          <w:sz w:val="22"/>
          <w:szCs w:val="22"/>
          <w:rtl/>
        </w:rPr>
        <w:t xml:space="preserve">–  حُرّر هذا العقد في ........ نظائر، تسلّم كل طرف نظيراً منها.</w:t>
      </w:r>
    </w:p>
    <w:p>
      <w:pPr>
        <w:bidi/>
        <w:spacing w:after="120" w:before="120" w:line="300"/>
        <w:jc w:val="center"/>
      </w:pPr>
      <w:r>
        <w:rPr>
          <w:rFonts w:ascii="Tajawal" w:cs="Tajawal" w:eastAsia="Tajawal" w:hAnsi="Tajawal"/>
          <w:b w:val="false"/>
          <w:color w:val="1A1A1A"/>
          <w:sz w:val="22"/>
          <w:szCs w:val="22"/>
          <w:rtl/>
        </w:rPr>
        <w:t xml:space="preserve">وحُرّر بـ .............................. في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المكتري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r>
    </w:tbl>
    <w:p>
      <w:r>
        <w:br w:type="page"/>
      </w:r>
    </w:p>
    <w:p>
      <w:pPr>
        <w:bidi/>
        <w:spacing w:after="60" w:before="0" w:line="300"/>
        <w:jc w:val="center"/>
      </w:pPr>
      <w:r>
        <w:rPr>
          <w:rFonts w:ascii="Tajawal" w:cs="Tajawal" w:eastAsia="Tajawal" w:hAnsi="Tajawal"/>
          <w:b/>
          <w:bCs/>
          <w:color w:val="0A1628"/>
          <w:sz w:val="34"/>
          <w:szCs w:val="34"/>
          <w:rtl/>
        </w:rPr>
        <w:t xml:space="preserve">الملحق 1: البيان الوصفي لحالة المحل</w:t>
      </w:r>
    </w:p>
    <w:p>
      <w:pPr>
        <w:bidi/>
        <w:spacing w:after="80" w:before="40" w:line="300"/>
        <w:jc w:val="start"/>
      </w:pPr>
      <w:r>
        <w:rPr>
          <w:rFonts w:ascii="Tajawal" w:cs="Tajawal" w:eastAsia="Tajawal" w:hAnsi="Tajawal"/>
          <w:b w:val="false"/>
          <w:color w:val="1A1A1A"/>
          <w:sz w:val="22"/>
          <w:szCs w:val="22"/>
          <w:rtl/>
        </w:rPr>
        <w:t xml:space="preserve">أُعدّ هذا البيان عند: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تسلم المحل   </w:t>
      </w:r>
      <w:r>
        <w:rPr>
          <w:rFonts w:ascii="Segoe UI Symbol" w:cs="Segoe UI Symbol" w:eastAsia="Segoe UI Symbol" w:hAnsi="Segoe UI Symbol"/>
          <w:b w:val="false"/>
          <w:color w:val="1A1A1A"/>
          <w:sz w:val="22"/>
          <w:szCs w:val="22"/>
          <w:rtl/>
        </w:rPr>
        <w:t xml:space="preserve">☐</w:t>
      </w:r>
      <w:r>
        <w:rPr>
          <w:rFonts w:ascii="Tajawal" w:cs="Tajawal" w:eastAsia="Tajawal" w:hAnsi="Tajawal"/>
          <w:b w:val="false"/>
          <w:color w:val="1A1A1A"/>
          <w:sz w:val="22"/>
          <w:szCs w:val="22"/>
          <w:rtl/>
        </w:rPr>
        <w:t xml:space="preserve"> إرجاع المحل      التاريخ: ....../....../..........</w:t>
      </w:r>
    </w:p>
    <w:p>
      <w:pPr>
        <w:bidi/>
        <w:spacing w:after="80" w:before="40" w:line="300"/>
        <w:jc w:val="start"/>
      </w:pPr>
      <w:r>
        <w:rPr>
          <w:rFonts w:ascii="Tajawal" w:cs="Tajawal" w:eastAsia="Tajawal" w:hAnsi="Tajawal"/>
          <w:b w:val="false"/>
          <w:color w:val="1A1A1A"/>
          <w:sz w:val="22"/>
          <w:szCs w:val="22"/>
          <w:rtl/>
        </w:rPr>
        <w:t xml:space="preserve">عداد الماء رقم ................ القراءة ................      عداد الكهرباء رقم ................ القراءة ................      عدد المفاتيح المسلّمة: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1400"/>
        <w:gridCol w:w="1300"/>
        <w:gridCol w:w="1400"/>
        <w:gridCol w:w="1300"/>
        <w:gridCol w:w="1300"/>
        <w:gridCol w:w="1438"/>
      </w:tblGrid>
      <w:tr>
        <w:trPr>
          <w:tblHeader/>
        </w:trPr>
        <w:tc>
          <w:tcPr>
            <w:tcW w:type="dxa" w:w="15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العنصر</w:t>
            </w:r>
          </w:p>
        </w:tc>
        <w:tc>
          <w:tcPr>
            <w:tcW w:type="dxa" w:w="14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الجدران والسقف</w:t>
            </w:r>
          </w:p>
        </w:tc>
        <w:tc>
          <w:tcPr>
            <w:tcW w:type="dxa" w:w="13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الأرضية</w:t>
            </w:r>
          </w:p>
        </w:tc>
        <w:tc>
          <w:tcPr>
            <w:tcW w:type="dxa" w:w="14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الأبواب والنوافذ</w:t>
            </w:r>
          </w:p>
        </w:tc>
        <w:tc>
          <w:tcPr>
            <w:tcW w:type="dxa" w:w="13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الكهرباء والإنارة</w:t>
            </w:r>
          </w:p>
        </w:tc>
        <w:tc>
          <w:tcPr>
            <w:tcW w:type="dxa" w:w="13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الماء والصحيات</w:t>
            </w:r>
          </w:p>
        </w:tc>
        <w:tc>
          <w:tcPr>
            <w:tcW w:type="dxa" w:w="1438"/>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ملاحظات</w:t>
            </w: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المدخل</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الصالون</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الغرفة 1</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الغرفة 2</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المطبخ</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الحمام</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الشرفة</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700" w:hRule="atLeast"/>
        </w:trPr>
        <w:tc>
          <w:tcPr>
            <w:tcW w:type="dxa" w:w="15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r>
              <w:rPr>
                <w:rFonts w:ascii="Tajawal" w:cs="Tajawal" w:eastAsia="Tajawal" w:hAnsi="Tajawal"/>
                <w:b w:val="false"/>
                <w:color w:val="1A1A1A"/>
                <w:sz w:val="19"/>
                <w:szCs w:val="19"/>
                <w:rtl/>
              </w:rPr>
              <w:t xml:space="preserve">المرافق التابعة</w:t>
            </w: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3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4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bl>
    <w:p>
      <w:pPr>
        <w:bidi/>
        <w:spacing w:after="60" w:before="40" w:line="300"/>
        <w:jc w:val="both"/>
      </w:pPr>
      <w:r>
        <w:rPr>
          <w:rFonts w:ascii="Tajawal" w:cs="Tajawal" w:eastAsia="Tajawal" w:hAnsi="Tajawal"/>
          <w:b w:val="false"/>
          <w:color w:val="1A1A1A"/>
          <w:sz w:val="22"/>
          <w:szCs w:val="22"/>
          <w:rtl/>
        </w:rPr>
        <w:t xml:space="preserve">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المكتري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r>
    </w:tbl>
    <w:p>
      <w:r>
        <w:br w:type="page"/>
      </w:r>
    </w:p>
    <w:p>
      <w:pPr>
        <w:bidi/>
        <w:spacing w:after="60" w:before="0" w:line="300"/>
        <w:jc w:val="center"/>
      </w:pPr>
      <w:r>
        <w:rPr>
          <w:rFonts w:ascii="Tajawal" w:cs="Tajawal" w:eastAsia="Tajawal" w:hAnsi="Tajawal"/>
          <w:b/>
          <w:bCs/>
          <w:color w:val="0A1628"/>
          <w:sz w:val="34"/>
          <w:szCs w:val="34"/>
          <w:rtl/>
        </w:rPr>
        <w:t xml:space="preserve">الملحق 2: جرد المنقولات والتجهيزات</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1100"/>
        <w:gridCol w:w="3000"/>
        <w:gridCol w:w="2338"/>
      </w:tblGrid>
      <w:tr>
        <w:trPr>
          <w:tblHeader/>
        </w:trPr>
        <w:tc>
          <w:tcPr>
            <w:tcW w:type="dxa" w:w="32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المنقول أو التجهيز</w:t>
            </w:r>
          </w:p>
        </w:tc>
        <w:tc>
          <w:tcPr>
            <w:tcW w:type="dxa" w:w="11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العدد</w:t>
            </w:r>
          </w:p>
        </w:tc>
        <w:tc>
          <w:tcPr>
            <w:tcW w:type="dxa" w:w="3000"/>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الحالة الوصفية</w:t>
            </w:r>
          </w:p>
        </w:tc>
        <w:tc>
          <w:tcPr>
            <w:tcW w:type="dxa" w:w="2338"/>
            <w:tcBorders>
              <w:top w:val="single" w:color="B8B8B8" w:sz="4"/>
              <w:left w:val="single" w:color="B8B8B8" w:sz="4"/>
              <w:bottom w:val="single" w:color="B8B8B8" w:sz="4"/>
              <w:right w:val="single" w:color="B8B8B8" w:sz="4"/>
            </w:tcBorders>
            <w:shd w:fill="0A1628" w:color="auto" w:val="clear"/>
            <w:tcMar>
              <w:top w:type="dxa" w:w="60"/>
              <w:left w:type="dxa" w:w="100"/>
              <w:bottom w:type="dxa" w:w="60"/>
              <w:right w:type="dxa" w:w="100"/>
            </w:tcMar>
            <w:vAlign w:val="center"/>
          </w:tcPr>
          <w:p>
            <w:pPr>
              <w:bidi/>
              <w:spacing w:after="20" w:before="20" w:line="260"/>
              <w:jc w:val="start"/>
            </w:pPr>
            <w:r>
              <w:rPr>
                <w:rFonts w:ascii="Tajawal" w:cs="Tajawal" w:eastAsia="Tajawal" w:hAnsi="Tajawal"/>
                <w:b/>
                <w:bCs/>
                <w:color w:val="FFFFFF"/>
                <w:sz w:val="19"/>
                <w:szCs w:val="19"/>
                <w:rtl/>
              </w:rPr>
              <w:t xml:space="preserve">ملاحظات</w:t>
            </w: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r>
        <w:trPr>
          <w:trHeight w:val="520" w:hRule="atLeast"/>
        </w:trPr>
        <w:tc>
          <w:tcPr>
            <w:tcW w:type="dxa" w:w="32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11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3000"/>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c>
          <w:tcPr>
            <w:tcW w:type="dxa" w:w="2338"/>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20" w:before="20" w:line="260"/>
              <w:jc w:val="start"/>
            </w:pPr>
          </w:p>
        </w:tc>
      </w:tr>
    </w:tbl>
    <w:p>
      <w:pPr>
        <w:bidi/>
        <w:spacing w:after="60" w:before="40" w:line="300"/>
        <w:jc w:val="both"/>
      </w:pPr>
      <w:r>
        <w:rPr>
          <w:rFonts w:ascii="Tajawal" w:cs="Tajawal" w:eastAsia="Tajawal" w:hAnsi="Tajawal"/>
          <w:b w:val="false"/>
          <w:color w:val="1A1A1A"/>
          <w:sz w:val="22"/>
          <w:szCs w:val="22"/>
          <w:rtl/>
        </w:rPr>
        <w:t xml:space="preserve"> </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c>
          <w:tcPr>
            <w:tcW w:type="dxa" w:w="4819"/>
            <w:tcBorders>
              <w:top w:val="single" w:color="B8B8B8" w:sz="4"/>
              <w:left w:val="single" w:color="B8B8B8" w:sz="4"/>
              <w:bottom w:val="single" w:color="B8B8B8" w:sz="4"/>
              <w:right w:val="single" w:color="B8B8B8" w:sz="4"/>
            </w:tcBorders>
            <w:tcMar>
              <w:top w:type="dxa" w:w="60"/>
              <w:left w:type="dxa" w:w="100"/>
              <w:bottom w:type="dxa" w:w="60"/>
              <w:right w:type="dxa" w:w="100"/>
            </w:tcMar>
            <w:vAlign w:val="center"/>
          </w:tcPr>
          <w:p>
            <w:pPr>
              <w:bidi/>
              <w:spacing w:after="80" w:before="40" w:line="300"/>
              <w:jc w:val="center"/>
            </w:pPr>
            <w:r>
              <w:rPr>
                <w:rFonts w:ascii="Tajawal" w:cs="Tajawal" w:eastAsia="Tajawal" w:hAnsi="Tajawal"/>
                <w:b/>
                <w:bCs/>
                <w:color w:val="0A1628"/>
                <w:sz w:val="22"/>
                <w:szCs w:val="22"/>
                <w:rtl/>
              </w:rPr>
              <w:t xml:space="preserve">المكتري</w:t>
            </w:r>
          </w:p>
          <w:p>
            <w:pPr>
              <w:bidi/>
              <w:spacing w:after="80" w:before="40" w:line="300"/>
              <w:jc w:val="center"/>
            </w:pPr>
            <w:r>
              <w:rPr>
                <w:rFonts w:ascii="Tajawal" w:cs="Tajawal" w:eastAsia="Tajawal" w:hAnsi="Tajawal"/>
                <w:b w:val="false"/>
                <w:color w:val="1A1A1A"/>
                <w:sz w:val="20"/>
                <w:szCs w:val="20"/>
                <w:rtl/>
              </w:rPr>
              <w:t xml:space="preserve">الاسم الكامل: ..............................</w:t>
            </w:r>
          </w:p>
          <w:p>
            <w:pPr>
              <w:bidi/>
              <w:spacing w:after="80" w:before="120" w:line="300"/>
              <w:jc w:val="center"/>
            </w:pPr>
            <w:r>
              <w:rPr>
                <w:rFonts w:ascii="Tajawal" w:cs="Tajawal" w:eastAsia="Tajawal" w:hAnsi="Tajawal"/>
                <w:b w:val="false"/>
                <w:color w:val="1A1A1A"/>
                <w:sz w:val="20"/>
                <w:szCs w:val="20"/>
                <w:rtl/>
              </w:rPr>
              <w:t xml:space="preserve">التوقيع (مصادق عليه):</w:t>
            </w:r>
          </w:p>
          <w:p>
            <w:pPr>
              <w:bidi/>
              <w:spacing w:after="700" w:before="40" w:line="300"/>
              <w:jc w:val="both"/>
            </w:pPr>
            <w:r>
              <w:rPr>
                <w:rFonts w:ascii="Tajawal" w:cs="Tajawal" w:eastAsia="Tajawal" w:hAnsi="Tajawal"/>
                <w:b w:val="false"/>
                <w:color w:val="1A1A1A"/>
                <w:sz w:val="22"/>
                <w:szCs w:val="22"/>
                <w:rtl/>
              </w:rPr>
              <w:t xml:space="preserve"> </w:t>
            </w:r>
          </w:p>
        </w:tc>
      </w:tr>
    </w:tbl>
    <w:sectPr>
      <w:headerReference w:type="default" r:id="rId7"/>
      <w:footerReference w:type="default" r:id="rId8"/>
      <w:pgSz w:w="11906" w:h="16838" w:orient="portrait"/>
      <w:pgMar w:top="1134" w:right="1134" w:bottom="1134" w:left="1134" w:header="567" w:footer="567"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84C" w:sz="4" w:space="4"/>
      </w:pBdr>
      <w:bidi/>
      <w:jc w:val="center"/>
    </w:pPr>
    <w:r>
      <w:rPr>
        <w:rFonts w:ascii="Tajawal" w:cs="Tajawal" w:eastAsia="Tajawal" w:hAnsi="Tajawal"/>
        <w:b w:val="false"/>
        <w:color w:val="5A6270"/>
        <w:sz w:val="16"/>
        <w:szCs w:val="16"/>
        <w:rtl/>
      </w:rPr>
      <w:t xml:space="preserve">najiavocat.com  |  صفحة </w:t>
    </w:r>
    <w:r>
      <w:rPr>
        <w:rFonts w:ascii="Tajawal" w:cs="Tajawal" w:eastAsia="Tajawal" w:hAnsi="Tajawal"/>
        <w:color w:val="5A62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40" w:line="300"/>
      <w:jc w:val="center"/>
    </w:pPr>
    <w:r>
      <w:rPr>
        <w:rFonts w:ascii="Tajawal" w:cs="Tajawal" w:eastAsia="Tajawal" w:hAnsi="Tajawal"/>
        <w:b w:val="false"/>
        <w:color w:val="5A6270"/>
        <w:sz w:val="16"/>
        <w:szCs w:val="16"/>
        <w:rtl/>
      </w:rPr>
      <w:t xml:space="preserve">عقد كراء محل معد للسكنى — وفق القانون رقم 67.12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jawal" w:cs="Tajawal" w:eastAsia="Tajawal" w:hAnsi="Tajaw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كراء محل معد للسكنى — وفق القانون رقم 67.12</dc:title>
  <dc:creator>Cabinet Naji Avocat</dc:creator>
  <cp:lastModifiedBy>Un-named</cp:lastModifiedBy>
  <cp:revision>1</cp:revision>
  <dcterms:created xsi:type="dcterms:W3CDTF">2026-09-28T11:14:17.046Z</dcterms:created>
  <dcterms:modified xsi:type="dcterms:W3CDTF">2026-09-28T11:14:17.057Z</dcterms:modified>
</cp:coreProperties>
</file>

<file path=docProps/custom.xml><?xml version="1.0" encoding="utf-8"?>
<Properties xmlns="http://schemas.openxmlformats.org/officeDocument/2006/custom-properties" xmlns:vt="http://schemas.openxmlformats.org/officeDocument/2006/docPropsVTypes"/>
</file>