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  <w:jc w:val="center"/>
      </w:pPr>
      <w:r>
        <w:rPr>
          <w:rFonts w:ascii="Tajawal" w:cs="Tajawal" w:eastAsia="Tajawal" w:hAnsi="Tajawal"/>
          <w:b/>
          <w:bCs/>
          <w:color w:val="0A1628"/>
          <w:sz w:val="32"/>
          <w:szCs w:val="32"/>
          <w:rtl/>
        </w:rPr>
        <w:t xml:space="preserve">اتفاق فسخ عقد كراء محل معد للسكنى بالتراضي</w:t>
      </w:r>
    </w:p>
    <w:p>
      <w:pPr>
        <w:pBdr>
          <w:bottom w:val="single" w:color="C9A84C" w:sz="12" w:space="6"/>
        </w:pBdr>
        <w:bidi/>
        <w:spacing w:after="260"/>
        <w:jc w:val="center"/>
      </w:pPr>
      <w:r>
        <w:rPr>
          <w:rFonts w:ascii="Tajawal" w:cs="Tajawal" w:eastAsia="Tajawal" w:hAnsi="Tajawal"/>
          <w:b w:val="false"/>
          <w:color w:val="1F2430"/>
          <w:sz w:val="6"/>
          <w:szCs w:val="6"/>
          <w:rtl/>
        </w:rPr>
        <w:t xml:space="preserve"/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/>
          <w:bCs/>
          <w:color w:val="1F2430"/>
          <w:sz w:val="22"/>
          <w:szCs w:val="22"/>
          <w:rtl/>
        </w:rPr>
        <w:t xml:space="preserve">بين الموقعين أسفله:</w:t>
      </w:r>
    </w:p>
    <w:p>
      <w:pPr>
        <w:keepNext/>
        <w:bidi/>
        <w:spacing w:after="80" w:before="200"/>
      </w:pPr>
      <w:r>
        <w:rPr>
          <w:rFonts w:ascii="Tajawal" w:cs="Tajawal" w:eastAsia="Tajawal" w:hAnsi="Tajawal"/>
          <w:b/>
          <w:bCs/>
          <w:color w:val="0A1628"/>
          <w:sz w:val="24"/>
          <w:szCs w:val="24"/>
          <w:rtl/>
        </w:rPr>
        <w:t xml:space="preserve">الطرف الأول، المكري: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الاسم الكامل: …………………………………   الجنسية: ……………………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رقم البطاقة الوطنية أو جواز السفر: …………………………………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العنوان: ………………………………………………………</w:t>
      </w:r>
    </w:p>
    <w:p>
      <w:pPr>
        <w:keepNext/>
        <w:bidi/>
        <w:spacing w:after="80" w:before="200"/>
      </w:pPr>
      <w:r>
        <w:rPr>
          <w:rFonts w:ascii="Tajawal" w:cs="Tajawal" w:eastAsia="Tajawal" w:hAnsi="Tajawal"/>
          <w:b/>
          <w:bCs/>
          <w:color w:val="0A1628"/>
          <w:sz w:val="24"/>
          <w:szCs w:val="24"/>
          <w:rtl/>
        </w:rPr>
        <w:t xml:space="preserve">الطرف الثاني، المكتري: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الاسم الكامل: …………………………………   الجنسية: ……………………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رقم البطاقة الوطنية أو جواز السفر: …………………………………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العنوان: ………………………………………………………</w:t>
      </w:r>
    </w:p>
    <w:p>
      <w:pPr>
        <w:bidi/>
        <w:spacing w:after="110" w:before="8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ويشار إليهما معاً بـ«الطرفين».</w:t>
      </w:r>
    </w:p>
    <w:p>
      <w:pPr>
        <w:keepNext/>
        <w:bidi/>
        <w:spacing w:after="80" w:before="200"/>
      </w:pPr>
      <w:r>
        <w:rPr>
          <w:rFonts w:ascii="Tajawal" w:cs="Tajawal" w:eastAsia="Tajawal" w:hAnsi="Tajawal"/>
          <w:b/>
          <w:bCs/>
          <w:color w:val="0A1628"/>
          <w:sz w:val="24"/>
          <w:szCs w:val="24"/>
          <w:rtl/>
        </w:rPr>
        <w:t xml:space="preserve">تمهيد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يرتبط الطرفان بعقد كراء المحل المعد للسكنى الكائن بـ: …………………………………………، المؤرخ في: ……………………، مقابل وجيبة كرائية شهرية قدرها: …………………… درهم.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وقد اتفق الطرفان على إنهاء العلاقة الكرائية بينهما بالتراضي، طبقاً للفصل 230 من قانون الالتزامات والعقود، وفق البنود الآتية:</w:t>
      </w:r>
    </w:p>
    <w:p>
      <w:pPr>
        <w:keepNext/>
        <w:bidi/>
        <w:spacing w:after="80" w:before="200"/>
      </w:pPr>
      <w:r>
        <w:rPr>
          <w:rFonts w:ascii="Tajawal" w:cs="Tajawal" w:eastAsia="Tajawal" w:hAnsi="Tajawal"/>
          <w:b/>
          <w:bCs/>
          <w:color w:val="0A1628"/>
          <w:sz w:val="24"/>
          <w:szCs w:val="24"/>
          <w:rtl/>
        </w:rPr>
        <w:t xml:space="preserve">البند الأول: موضوع الاتفاق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يتفق الطرفان على فسخ عقد الكراء المشار إليه في التمهيد بالتراضي، ابتداءً من تاريخ: ……………………</w:t>
      </w:r>
    </w:p>
    <w:p>
      <w:pPr>
        <w:keepNext/>
        <w:bidi/>
        <w:spacing w:after="80" w:before="200"/>
      </w:pPr>
      <w:r>
        <w:rPr>
          <w:rFonts w:ascii="Tajawal" w:cs="Tajawal" w:eastAsia="Tajawal" w:hAnsi="Tajawal"/>
          <w:b/>
          <w:bCs/>
          <w:color w:val="0A1628"/>
          <w:sz w:val="24"/>
          <w:szCs w:val="24"/>
          <w:rtl/>
        </w:rPr>
        <w:t xml:space="preserve">البند الثاني: إرجاع المحل وتسليم المفاتيح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يلتزم المكتري بإرجاع المحل فارغاً من أمتعته، وتسليم مفاتيحه للمكري يوم: …………………… على الساعة: ……………………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ويحرر الطرفان يوم التسليم بياناً وصفياً لحالة المحل عند إرجاعه طبقاً للمادة 7 من القانون رقم 67.12، يشكل الملحق 1، ومحضراً لتسليم المفاتيح وقراءة العدادات يشكل الملحق 2.</w:t>
      </w:r>
    </w:p>
    <w:p>
      <w:pPr>
        <w:keepNext/>
        <w:bidi/>
        <w:spacing w:after="80" w:before="200"/>
      </w:pPr>
      <w:r>
        <w:rPr>
          <w:rFonts w:ascii="Tajawal" w:cs="Tajawal" w:eastAsia="Tajawal" w:hAnsi="Tajawal"/>
          <w:b/>
          <w:bCs/>
          <w:color w:val="0A1628"/>
          <w:sz w:val="24"/>
          <w:szCs w:val="24"/>
          <w:rtl/>
        </w:rPr>
        <w:t xml:space="preserve">البند الثالث: الوجيبة الكرائية والتكاليف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يقر الطرفان بأن الوجيبة الكرائية مؤداة إلى غاية: ……………………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لا يبقى بذمة المكتري أي مبلغ برسم الوجيبة الكرائية.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يبقى بذمة المكتري مبلغ: …………………… درهم، يؤديه في أجل أقصاه: ……………………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ويتحمل المكتري استهلاك الماء والكهرباء إلى تاريخ التسليم، على أساس قراءة العدادات المضمنة في الملحق 2.</w:t>
      </w:r>
    </w:p>
    <w:p>
      <w:pPr>
        <w:keepNext/>
        <w:bidi/>
        <w:spacing w:after="80" w:before="200"/>
      </w:pPr>
      <w:r>
        <w:rPr>
          <w:rFonts w:ascii="Tajawal" w:cs="Tajawal" w:eastAsia="Tajawal" w:hAnsi="Tajawal"/>
          <w:b/>
          <w:bCs/>
          <w:color w:val="0A1628"/>
          <w:sz w:val="24"/>
          <w:szCs w:val="24"/>
          <w:rtl/>
        </w:rPr>
        <w:t xml:space="preserve">البند الرابع: الضمانة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يقر المكري بتسلمه ضمانة قدرها: …………………… درهم، ويلتزم بردها داخل أجل أقصاه شهر من تاريخ إرجاع المحل، طبقاً للمادة 20 من القانون رقم 67.12، على الوجه الآتي: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ردها كاملة.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ردها بعد خصم مبلغ: …………………… درهم، مقابل: …………………………………………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خصمها من الوجيبة الكرائية المستحقة عن الأشهر الأخيرة.</w:t>
      </w:r>
    </w:p>
    <w:p>
      <w:pPr>
        <w:keepNext/>
        <w:bidi/>
        <w:spacing w:after="80" w:before="200"/>
      </w:pPr>
      <w:r>
        <w:rPr>
          <w:rFonts w:ascii="Tajawal" w:cs="Tajawal" w:eastAsia="Tajawal" w:hAnsi="Tajawal"/>
          <w:b/>
          <w:bCs/>
          <w:color w:val="0A1628"/>
          <w:sz w:val="24"/>
          <w:szCs w:val="24"/>
          <w:rtl/>
        </w:rPr>
        <w:t xml:space="preserve">البند الخامس: الإبراء المتبادل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بعد تنفيذ البنود أعلاه، يبرئ كل طرف ذمة الطرف الآخر من كل مطالبة ناشئة عن عقد الكراء، باستثناء التحفظات المدونة في الملحقين 1 و2.</w:t>
      </w:r>
    </w:p>
    <w:p>
      <w:pPr>
        <w:keepNext/>
        <w:bidi/>
        <w:spacing w:after="80" w:before="200"/>
      </w:pPr>
      <w:r>
        <w:rPr>
          <w:rFonts w:ascii="Tajawal" w:cs="Tajawal" w:eastAsia="Tajawal" w:hAnsi="Tajawal"/>
          <w:b/>
          <w:bCs/>
          <w:color w:val="0A1628"/>
          <w:sz w:val="24"/>
          <w:szCs w:val="24"/>
          <w:rtl/>
        </w:rPr>
        <w:t xml:space="preserve">البند السادس: القانون الواجب التطبيق والاختصاص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يخضع هذا الاتفاق للقانون رقم 67.12 ولقانون الالتزامات والعقود، وتختص بالنظر في كل نزاع بشأنه المحكمة الابتدائية التي يوجد المحل بدائرتها، طبقاً للمادة 71 من القانون رقم 67.12.</w:t>
      </w:r>
    </w:p>
    <w:p>
      <w:pPr>
        <w:keepNext/>
        <w:bidi/>
        <w:spacing w:after="80" w:before="200"/>
      </w:pPr>
      <w:r>
        <w:rPr>
          <w:rFonts w:ascii="Tajawal" w:cs="Tajawal" w:eastAsia="Tajawal" w:hAnsi="Tajawal"/>
          <w:b/>
          <w:bCs/>
          <w:color w:val="0A1628"/>
          <w:sz w:val="24"/>
          <w:szCs w:val="24"/>
          <w:rtl/>
        </w:rPr>
        <w:t xml:space="preserve">البند السابع: النظائر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حرر هذا الاتفاق في نظيرين، بيد كل طرف نظير، ويوقعه الطرفان مع تصحيح الإمضاء.</w:t>
      </w:r>
    </w:p>
    <w:p>
      <w:pPr>
        <w:bidi/>
        <w:spacing w:after="110" w:before="200" w:line="330"/>
        <w:jc w:val="start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حرر بـ: ……………………      في: ……………………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720" w:before="1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0A1628"/>
                <w:sz w:val="22"/>
                <w:szCs w:val="22"/>
                <w:rtl/>
              </w:rPr>
              <w:t xml:space="preserve">توقيع المكري</w:t>
            </w:r>
          </w:p>
          <w:p>
            <w:pPr>
              <w:bidi/>
              <w:jc w:val="center"/>
            </w:pPr>
            <w:r>
              <w:rPr>
                <w:rFonts w:ascii="Tajawal" w:cs="Tajawal" w:eastAsia="Tajawal" w:hAnsi="Tajawal"/>
                <w:b w:val="false"/>
                <w:color w:val="8A93A3"/>
                <w:sz w:val="22"/>
                <w:szCs w:val="22"/>
                <w:rtl/>
              </w:rPr>
              <w:t xml:space="preserve">…………………………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720" w:before="1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0A1628"/>
                <w:sz w:val="22"/>
                <w:szCs w:val="22"/>
                <w:rtl/>
              </w:rPr>
              <w:t xml:space="preserve">توقيع المكتري</w:t>
            </w:r>
          </w:p>
          <w:p>
            <w:pPr>
              <w:bidi/>
              <w:jc w:val="center"/>
            </w:pPr>
            <w:r>
              <w:rPr>
                <w:rFonts w:ascii="Tajawal" w:cs="Tajawal" w:eastAsia="Tajawal" w:hAnsi="Tajawal"/>
                <w:b w:val="false"/>
                <w:color w:val="8A93A3"/>
                <w:sz w:val="22"/>
                <w:szCs w:val="22"/>
                <w:rtl/>
              </w:rPr>
              <w:t xml:space="preserve">…………………………</w:t>
            </w:r>
          </w:p>
        </w:tc>
      </w:tr>
    </w:tbl>
    <w:p>
      <w:r>
        <w:br w:type="page"/>
      </w:r>
    </w:p>
    <w:p>
      <w:pPr>
        <w:bidi/>
        <w:spacing w:after="60" w:before="0"/>
        <w:jc w:val="center"/>
      </w:pPr>
      <w:r>
        <w:rPr>
          <w:rFonts w:ascii="Tajawal" w:cs="Tajawal" w:eastAsia="Tajawal" w:hAnsi="Tajawal"/>
          <w:b/>
          <w:bCs/>
          <w:color w:val="0A1628"/>
          <w:sz w:val="32"/>
          <w:szCs w:val="32"/>
          <w:rtl/>
        </w:rPr>
        <w:t xml:space="preserve">الملحق 1: البيان الوصفي لحالة المحل عند الإرجاع</w:t>
      </w:r>
    </w:p>
    <w:p>
      <w:pPr>
        <w:pBdr>
          <w:bottom w:val="single" w:color="C9A84C" w:sz="12" w:space="6"/>
        </w:pBdr>
        <w:bidi/>
        <w:spacing w:after="260"/>
        <w:jc w:val="center"/>
      </w:pPr>
      <w:r>
        <w:rPr>
          <w:rFonts w:ascii="Tajawal" w:cs="Tajawal" w:eastAsia="Tajawal" w:hAnsi="Tajawal"/>
          <w:b w:val="false"/>
          <w:color w:val="1F2430"/>
          <w:sz w:val="6"/>
          <w:szCs w:val="6"/>
          <w:rtl/>
        </w:rPr>
        <w:t xml:space="preserve"/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المحل الكائن بـ: …………………………………………      تاريخ الإرجاع: ……………………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3869"/>
        <w:gridCol w:w="2869"/>
      </w:tblGrid>
      <w:tr>
        <w:trPr>
          <w:tblHeader/>
        </w:trP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shd w:fill="0A162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60" w:before="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FFFFFF"/>
                <w:sz w:val="20"/>
                <w:szCs w:val="20"/>
                <w:rtl/>
              </w:rPr>
              <w:t xml:space="preserve">العنصر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shd w:fill="0A162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60" w:before="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FFFFFF"/>
                <w:sz w:val="20"/>
                <w:szCs w:val="20"/>
                <w:rtl/>
              </w:rPr>
              <w:t xml:space="preserve">الحالة عند الإرجاع</w:t>
            </w: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shd w:fill="0A162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60" w:before="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FFFFFF"/>
                <w:sz w:val="20"/>
                <w:szCs w:val="20"/>
                <w:rtl/>
              </w:rPr>
              <w:t xml:space="preserve">التحفظات</w:t>
            </w: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المدخل والباب الرئيسي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غرفة الجلوس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الغرفة 1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الغرفة 2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الغرفة 3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المطبخ وتجهيزاته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الحمام والمرحاض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الأرضيات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الجدران والأسقف والطلاء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النوافذ والأبواب الداخلية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الكهرباء: المقابس والمصابيح ولوحة التوزيع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الماء: الصنابير والقنوات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الشرفة أو السطح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المرآب أو القبو</w:t>
            </w:r>
          </w:p>
        </w:tc>
        <w:tc>
          <w:tcPr>
            <w:tcW w:type="dxa" w:w="3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28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</w:tbl>
    <w:p>
      <w:pPr>
        <w:spacing w:after="160"/>
      </w:pP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/>
          <w:bCs/>
          <w:color w:val="1F2430"/>
          <w:sz w:val="22"/>
          <w:szCs w:val="22"/>
          <w:rtl/>
        </w:rPr>
        <w:t xml:space="preserve">البيان الوصفي المحرر عند تسلم المحل: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موجود ومرفق بعقد الكراء.</w:t>
      </w:r>
    </w:p>
    <w:p>
      <w:pPr>
        <w:bidi/>
        <w:spacing w:after="70" w:before="40" w:line="330"/>
        <w:ind w:start="36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☐  غير موجود.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720" w:before="1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0A1628"/>
                <w:sz w:val="22"/>
                <w:szCs w:val="22"/>
                <w:rtl/>
              </w:rPr>
              <w:t xml:space="preserve">توقيع المكري</w:t>
            </w:r>
          </w:p>
          <w:p>
            <w:pPr>
              <w:bidi/>
              <w:jc w:val="center"/>
            </w:pPr>
            <w:r>
              <w:rPr>
                <w:rFonts w:ascii="Tajawal" w:cs="Tajawal" w:eastAsia="Tajawal" w:hAnsi="Tajawal"/>
                <w:b w:val="false"/>
                <w:color w:val="8A93A3"/>
                <w:sz w:val="22"/>
                <w:szCs w:val="22"/>
                <w:rtl/>
              </w:rPr>
              <w:t xml:space="preserve">…………………………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720" w:before="1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0A1628"/>
                <w:sz w:val="22"/>
                <w:szCs w:val="22"/>
                <w:rtl/>
              </w:rPr>
              <w:t xml:space="preserve">توقيع المكتري</w:t>
            </w:r>
          </w:p>
          <w:p>
            <w:pPr>
              <w:bidi/>
              <w:jc w:val="center"/>
            </w:pPr>
            <w:r>
              <w:rPr>
                <w:rFonts w:ascii="Tajawal" w:cs="Tajawal" w:eastAsia="Tajawal" w:hAnsi="Tajawal"/>
                <w:b w:val="false"/>
                <w:color w:val="8A93A3"/>
                <w:sz w:val="22"/>
                <w:szCs w:val="22"/>
                <w:rtl/>
              </w:rPr>
              <w:t xml:space="preserve">…………………………</w:t>
            </w:r>
          </w:p>
        </w:tc>
      </w:tr>
    </w:tbl>
    <w:p>
      <w:r>
        <w:br w:type="page"/>
      </w:r>
    </w:p>
    <w:p>
      <w:pPr>
        <w:bidi/>
        <w:spacing w:after="60" w:before="0"/>
        <w:jc w:val="center"/>
      </w:pPr>
      <w:r>
        <w:rPr>
          <w:rFonts w:ascii="Tajawal" w:cs="Tajawal" w:eastAsia="Tajawal" w:hAnsi="Tajawal"/>
          <w:b/>
          <w:bCs/>
          <w:color w:val="0A1628"/>
          <w:sz w:val="32"/>
          <w:szCs w:val="32"/>
          <w:rtl/>
        </w:rPr>
        <w:t xml:space="preserve">الملحق 2: محضر تسليم المفاتيح وقراءة العدادات</w:t>
      </w:r>
    </w:p>
    <w:p>
      <w:pPr>
        <w:pBdr>
          <w:bottom w:val="single" w:color="C9A84C" w:sz="12" w:space="6"/>
        </w:pBdr>
        <w:bidi/>
        <w:spacing w:after="260"/>
        <w:jc w:val="center"/>
      </w:pPr>
      <w:r>
        <w:rPr>
          <w:rFonts w:ascii="Tajawal" w:cs="Tajawal" w:eastAsia="Tajawal" w:hAnsi="Tajawal"/>
          <w:b w:val="false"/>
          <w:color w:val="1F2430"/>
          <w:sz w:val="6"/>
          <w:szCs w:val="6"/>
          <w:rtl/>
        </w:rPr>
        <w:t xml:space="preserve"/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عدد المفاتيح المسلَّمة: ……………………   مفاتيح الباب الرئيسي: ……………………</w:t>
      </w: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مفاتيح الصندوق البريدي: ……………………   مفاتيح المرآب أو القبو: ……………………</w:t>
      </w:r>
    </w:p>
    <w:p>
      <w:pPr>
        <w:spacing w:after="80"/>
      </w:pP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3369"/>
        <w:gridCol w:w="3369"/>
      </w:tblGrid>
      <w:tr>
        <w:trPr>
          <w:tblHeader/>
        </w:trP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shd w:fill="0A162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60" w:before="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FFFFFF"/>
                <w:sz w:val="20"/>
                <w:szCs w:val="20"/>
                <w:rtl/>
              </w:rPr>
              <w:t xml:space="preserve">العداد</w:t>
            </w:r>
          </w:p>
        </w:tc>
        <w:tc>
          <w:tcPr>
            <w:tcW w:type="dxa" w:w="33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shd w:fill="0A162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60" w:before="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FFFFFF"/>
                <w:sz w:val="20"/>
                <w:szCs w:val="20"/>
                <w:rtl/>
              </w:rPr>
              <w:t xml:space="preserve">رقم العداد</w:t>
            </w:r>
          </w:p>
        </w:tc>
        <w:tc>
          <w:tcPr>
            <w:tcW w:type="dxa" w:w="33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shd w:fill="0A162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60" w:before="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FFFFFF"/>
                <w:sz w:val="20"/>
                <w:szCs w:val="20"/>
                <w:rtl/>
              </w:rPr>
              <w:t xml:space="preserve">القراءة يوم التسليم</w:t>
            </w: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الماء</w:t>
            </w:r>
          </w:p>
        </w:tc>
        <w:tc>
          <w:tcPr>
            <w:tcW w:type="dxa" w:w="33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33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الكهرباء</w:t>
            </w:r>
          </w:p>
        </w:tc>
        <w:tc>
          <w:tcPr>
            <w:tcW w:type="dxa" w:w="33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33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29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  <w:r>
              <w:rPr>
                <w:rFonts w:ascii="Tajawal" w:cs="Tajawal" w:eastAsia="Tajawal" w:hAnsi="Tajawal"/>
                <w:b/>
                <w:bCs/>
                <w:color w:val="1F2430"/>
                <w:sz w:val="20"/>
                <w:szCs w:val="20"/>
                <w:rtl/>
              </w:rPr>
              <w:t xml:space="preserve">الغاز</w:t>
            </w:r>
          </w:p>
        </w:tc>
        <w:tc>
          <w:tcPr>
            <w:tcW w:type="dxa" w:w="33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3369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</w:tbl>
    <w:p>
      <w:pPr>
        <w:spacing w:after="160"/>
      </w:pP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300"/>
        <w:gridCol w:w="4138"/>
      </w:tblGrid>
      <w:tr>
        <w:trPr>
          <w:tblHeader/>
        </w:trPr>
        <w:tc>
          <w:tcPr>
            <w:tcW w:type="dxa" w:w="42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shd w:fill="0A162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60" w:before="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FFFFFF"/>
                <w:sz w:val="20"/>
                <w:szCs w:val="20"/>
                <w:rtl/>
              </w:rPr>
              <w:t xml:space="preserve">التجهيز المسلَّم</w:t>
            </w:r>
          </w:p>
        </w:tc>
        <w:tc>
          <w:tcPr>
            <w:tcW w:type="dxa" w:w="13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shd w:fill="0A162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60" w:before="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FFFFFF"/>
                <w:sz w:val="20"/>
                <w:szCs w:val="20"/>
                <w:rtl/>
              </w:rPr>
              <w:t xml:space="preserve">العدد</w:t>
            </w:r>
          </w:p>
        </w:tc>
        <w:tc>
          <w:tcPr>
            <w:tcW w:type="dxa" w:w="4138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shd w:fill="0A162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60" w:before="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FFFFFF"/>
                <w:sz w:val="20"/>
                <w:szCs w:val="20"/>
                <w:rtl/>
              </w:rPr>
              <w:t xml:space="preserve">الحالة عند الإرجاع</w:t>
            </w:r>
          </w:p>
        </w:tc>
      </w:tr>
      <w:tr>
        <w:tc>
          <w:tcPr>
            <w:tcW w:type="dxa" w:w="42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13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4138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42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13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4138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42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13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4138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42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13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4138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42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13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4138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  <w:tr>
        <w:tc>
          <w:tcPr>
            <w:tcW w:type="dxa" w:w="42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1300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  <w:tc>
          <w:tcPr>
            <w:tcW w:type="dxa" w:w="4138"/>
            <w:tcBorders>
              <w:top w:val="single" w:color="B9C0CC" w:sz="4"/>
              <w:left w:val="single" w:color="B9C0CC" w:sz="4"/>
              <w:bottom w:val="single" w:color="B9C0CC" w:sz="4"/>
              <w:right w:val="single" w:color="B9C0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95" w:before="95"/>
              <w:jc w:val="start"/>
            </w:pPr>
          </w:p>
        </w:tc>
      </w:tr>
    </w:tbl>
    <w:p>
      <w:pPr>
        <w:spacing w:after="160"/>
      </w:pPr>
    </w:p>
    <w:p>
      <w:pPr>
        <w:bidi/>
        <w:spacing w:after="110" w:before="40" w:line="330"/>
        <w:jc w:val="both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يقر المكري بتسلم المفاتيح والمحل في التاريخ أعلاه، مع التحفظات المدونة في الملحق 1.</w:t>
      </w:r>
    </w:p>
    <w:p>
      <w:pPr>
        <w:bidi/>
        <w:spacing w:after="110" w:before="120" w:line="330"/>
        <w:jc w:val="start"/>
      </w:pPr>
      <w:r>
        <w:rPr>
          <w:rFonts w:ascii="Tajawal" w:cs="Tajawal" w:eastAsia="Tajawal" w:hAnsi="Tajawal"/>
          <w:b w:val="false"/>
          <w:color w:val="1F2430"/>
          <w:sz w:val="22"/>
          <w:szCs w:val="22"/>
          <w:rtl/>
        </w:rPr>
        <w:t xml:space="preserve">حرر بـ: ……………………      في: ……………………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720" w:before="1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0A1628"/>
                <w:sz w:val="22"/>
                <w:szCs w:val="22"/>
                <w:rtl/>
              </w:rPr>
              <w:t xml:space="preserve">توقيع المكري</w:t>
            </w:r>
          </w:p>
          <w:p>
            <w:pPr>
              <w:bidi/>
              <w:jc w:val="center"/>
            </w:pPr>
            <w:r>
              <w:rPr>
                <w:rFonts w:ascii="Tajawal" w:cs="Tajawal" w:eastAsia="Tajawal" w:hAnsi="Tajawal"/>
                <w:b w:val="false"/>
                <w:color w:val="8A93A3"/>
                <w:sz w:val="22"/>
                <w:szCs w:val="22"/>
                <w:rtl/>
              </w:rPr>
              <w:t xml:space="preserve">…………………………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720" w:before="160"/>
              <w:jc w:val="center"/>
            </w:pPr>
            <w:r>
              <w:rPr>
                <w:rFonts w:ascii="Tajawal" w:cs="Tajawal" w:eastAsia="Tajawal" w:hAnsi="Tajawal"/>
                <w:b/>
                <w:bCs/>
                <w:color w:val="0A1628"/>
                <w:sz w:val="22"/>
                <w:szCs w:val="22"/>
                <w:rtl/>
              </w:rPr>
              <w:t xml:space="preserve">توقيع المكتري</w:t>
            </w:r>
          </w:p>
          <w:p>
            <w:pPr>
              <w:bidi/>
              <w:jc w:val="center"/>
            </w:pPr>
            <w:r>
              <w:rPr>
                <w:rFonts w:ascii="Tajawal" w:cs="Tajawal" w:eastAsia="Tajawal" w:hAnsi="Tajawal"/>
                <w:b w:val="false"/>
                <w:color w:val="8A93A3"/>
                <w:sz w:val="22"/>
                <w:szCs w:val="22"/>
                <w:rtl/>
              </w:rPr>
              <w:t xml:space="preserve">…………………………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1150" w:left="1134" w:header="56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Tajawal" w:cs="Tajawal" w:eastAsia="Tajawal" w:hAnsi="Tajawal"/>
        <w:b w:val="false"/>
        <w:color w:val="6B7280"/>
        <w:sz w:val="16"/>
        <w:szCs w:val="16"/>
        <w:rtl/>
      </w:rPr>
      <w:t xml:space="preserve">najiavocat.com  |  صفحة </w:t>
    </w:r>
    <w:r>
      <w:rPr>
        <w:rFonts w:ascii="Tajawal" w:cs="Tajawal" w:eastAsia="Tajawal" w:hAnsi="Tajaw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A84C" w:sz="4" w:space="4"/>
      </w:pBdr>
      <w:bidi/>
      <w:jc w:val="center"/>
    </w:pPr>
    <w:r>
      <w:rPr>
        <w:rFonts w:ascii="Tajawal" w:cs="Tajawal" w:eastAsia="Tajawal" w:hAnsi="Tajawal"/>
        <w:b/>
        <w:bCs/>
        <w:color w:val="0A1628"/>
        <w:sz w:val="17"/>
        <w:szCs w:val="17"/>
        <w:rtl/>
      </w:rPr>
      <w:t xml:space="preserve">اتفاق فسخ عقد كراء بالتراضي · القانون رقم 67.12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jawal" w:cs="Tajawal" w:eastAsia="Tajawal" w:hAnsi="Tajaw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اتفاق فسخ عقد كراء بالتراضي · القانون رقم 67.12</dc:title>
  <dc:creator>najiavocat.com</dc:creator>
  <cp:lastModifiedBy>Un-named</cp:lastModifiedBy>
  <cp:revision>1</cp:revision>
  <dcterms:created xsi:type="dcterms:W3CDTF">2026-10-04T10:12:45.788Z</dcterms:created>
  <dcterms:modified xsi:type="dcterms:W3CDTF">2026-10-04T10:12:45.788Z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